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C9" w:rsidRPr="00DF4DA8" w:rsidRDefault="008A6CC9" w:rsidP="00263756">
      <w:pPr>
        <w:spacing w:line="360" w:lineRule="auto"/>
        <w:ind w:left="5103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УТВЕРЖДЕН</w:t>
      </w:r>
      <w:r w:rsidR="00AA27A5" w:rsidRP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А</w:t>
      </w:r>
    </w:p>
    <w:p w:rsidR="008A6CC9" w:rsidRPr="00DF4DA8" w:rsidRDefault="008A6CC9" w:rsidP="00212B37">
      <w:pPr>
        <w:ind w:left="5103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постановлением</w:t>
      </w:r>
    </w:p>
    <w:p w:rsidR="008A6CC9" w:rsidRPr="00DF4DA8" w:rsidRDefault="008A6CC9" w:rsidP="00212B37">
      <w:pPr>
        <w:ind w:left="5103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Администрации Тазовского района</w:t>
      </w:r>
    </w:p>
    <w:p w:rsidR="00E118A6" w:rsidRPr="00DF4DA8" w:rsidRDefault="008A6CC9" w:rsidP="00212B37">
      <w:pPr>
        <w:ind w:left="5103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 xml:space="preserve">от </w:t>
      </w:r>
      <w:r w:rsidR="00682ABF" w:rsidRPr="00682ABF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30 ноября 2021 года</w:t>
      </w:r>
      <w:r w:rsidR="00DF4DA8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 xml:space="preserve"> № </w:t>
      </w:r>
      <w:r w:rsidR="00682ABF"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  <w:t>1055-п</w:t>
      </w:r>
      <w:bookmarkStart w:id="0" w:name="_GoBack"/>
      <w:bookmarkEnd w:id="0"/>
    </w:p>
    <w:p w:rsidR="006F1D30" w:rsidRPr="00DF4DA8" w:rsidRDefault="006F1D30" w:rsidP="00212B37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7241A" w:rsidRPr="00DF4DA8" w:rsidRDefault="0097241A" w:rsidP="00212B37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7241A" w:rsidRPr="00DF4DA8" w:rsidRDefault="0097241A" w:rsidP="00212B37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F4DA8" w:rsidRPr="00DF4DA8" w:rsidRDefault="00DF4DA8" w:rsidP="00212B37">
      <w:pPr>
        <w:jc w:val="center"/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 xml:space="preserve">ПРОГРАММА </w:t>
      </w:r>
    </w:p>
    <w:p w:rsidR="00DF4DA8" w:rsidRPr="00DF4DA8" w:rsidRDefault="006F1D30" w:rsidP="00212B37">
      <w:pPr>
        <w:jc w:val="center"/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муниципальный округ Тазовский район</w:t>
      </w:r>
    </w:p>
    <w:p w:rsidR="006F1D30" w:rsidRPr="00DF4DA8" w:rsidRDefault="006F1D30" w:rsidP="00212B37">
      <w:pPr>
        <w:jc w:val="center"/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  <w:lang w:eastAsia="ru-RU"/>
        </w:rPr>
        <w:t>Ямало-Ненецкого автономного округа на 2022 год</w:t>
      </w:r>
    </w:p>
    <w:p w:rsidR="006F1D30" w:rsidRPr="00DF4DA8" w:rsidRDefault="006F1D30" w:rsidP="00212B37">
      <w:pPr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</w:p>
    <w:p w:rsidR="00AA6BD1" w:rsidRPr="00DF4DA8" w:rsidRDefault="007419A5" w:rsidP="00212B37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1. </w:t>
      </w:r>
      <w:r w:rsidR="00302AAE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02AAE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на решение которых направлена программа профилактики</w:t>
      </w:r>
      <w:r w:rsidR="00A8544B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по муниципальному земельному контролю в границах</w:t>
      </w:r>
      <w:r w:rsidR="00AA6BD1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A8544B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образования муниципальный округ</w:t>
      </w:r>
    </w:p>
    <w:p w:rsidR="006F1D30" w:rsidRPr="00DF4DA8" w:rsidRDefault="00A8544B" w:rsidP="00212B37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Тазовский район Ямало-Ненецкого</w:t>
      </w:r>
      <w:r w:rsidR="00AA6BD1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автономного</w:t>
      </w:r>
      <w:r w:rsidR="00AA6BD1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</w:t>
      </w: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круга</w:t>
      </w:r>
      <w:r w:rsidR="00AA6BD1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на 2022 год</w:t>
      </w:r>
    </w:p>
    <w:p w:rsidR="007419A5" w:rsidRPr="00DF4DA8" w:rsidRDefault="007419A5" w:rsidP="00212B37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5B2C" w:rsidRPr="00DF4DA8" w:rsidRDefault="00735B2C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Муниципальный земельный контроль – деятельность, направленная </w:t>
      </w:r>
      <w:r w:rsidR="00F118C4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на предупреждение, выявление и пресечение нарушений обязательных требований земельного законодательства (далее </w:t>
      </w:r>
      <w:r w:rsidR="008D050E" w:rsidRPr="00DF4DA8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902528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</w:t>
      </w:r>
      <w:r w:rsidR="00212B37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и организациями обязательных требований, выявления нарушений обязательных требований, принятия предусмотренных законодател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>ьством Российской Федерации мер</w:t>
      </w:r>
      <w:r w:rsidR="00902528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13434" w:rsidRPr="00DF4DA8" w:rsidRDefault="00313434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Муниципальный земельный контроль на территории муниципального округа Тазовский район Ямало-Ненецкого автономного округа осуществляется </w:t>
      </w:r>
      <w:r w:rsidR="004D241E" w:rsidRPr="00DF4DA8">
        <w:rPr>
          <w:rFonts w:ascii="PT Astra Serif" w:eastAsia="Times New Roman" w:hAnsi="PT Astra Serif"/>
          <w:sz w:val="28"/>
          <w:szCs w:val="28"/>
          <w:lang w:eastAsia="ru-RU"/>
        </w:rPr>
        <w:t>Администрацией Тазовского района, от имени которой действует департамент имущественных и земельных отношений Администрации Тазовского района</w:t>
      </w:r>
      <w:r w:rsidR="00AD75E7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(далее – орган муниципального земельного контроля)</w:t>
      </w:r>
      <w:r w:rsidR="004D241E" w:rsidRPr="00DF4DA8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D241E" w:rsidRPr="00DF4DA8" w:rsidRDefault="004D241E" w:rsidP="00212B37">
      <w:pPr>
        <w:pStyle w:val="ConsPlusNormal"/>
        <w:adjustRightInd w:val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F4DA8">
        <w:rPr>
          <w:rFonts w:ascii="PT Astra Serif" w:hAnsi="PT Astra Serif" w:cs="Times New Roman"/>
          <w:sz w:val="28"/>
          <w:szCs w:val="28"/>
        </w:rPr>
        <w:t>Органом, уполномоченным на осуществление муниципального земельного контроля в границах села Находка муниципального округа Тазовский район Ямало-Ненецкого автономного округа, является администрация села Находка Администрации Тазовского района</w:t>
      </w:r>
      <w:r w:rsidR="00212B37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B03239" w:rsidRPr="00DF4DA8">
        <w:rPr>
          <w:rFonts w:ascii="PT Astra Serif" w:hAnsi="PT Astra Serif" w:cs="Times New Roman"/>
          <w:sz w:val="28"/>
          <w:szCs w:val="28"/>
        </w:rPr>
        <w:t xml:space="preserve"> </w:t>
      </w:r>
      <w:r w:rsidR="00B03239" w:rsidRPr="00DF4DA8">
        <w:rPr>
          <w:rFonts w:ascii="PT Astra Serif" w:hAnsi="PT Astra Serif"/>
          <w:sz w:val="28"/>
          <w:szCs w:val="28"/>
        </w:rPr>
        <w:t>(далее – орган муниципального земельного контроля)</w:t>
      </w:r>
      <w:r w:rsidRPr="00DF4DA8">
        <w:rPr>
          <w:rFonts w:ascii="PT Astra Serif" w:hAnsi="PT Astra Serif" w:cs="Times New Roman"/>
          <w:sz w:val="28"/>
          <w:szCs w:val="28"/>
        </w:rPr>
        <w:t>.</w:t>
      </w:r>
    </w:p>
    <w:p w:rsidR="004D241E" w:rsidRPr="00DF4DA8" w:rsidRDefault="004D241E" w:rsidP="00212B37">
      <w:pPr>
        <w:pStyle w:val="ConsPlusNormal"/>
        <w:adjustRightInd w:val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F4DA8">
        <w:rPr>
          <w:rFonts w:ascii="PT Astra Serif" w:hAnsi="PT Astra Serif" w:cs="Times New Roman"/>
          <w:sz w:val="28"/>
          <w:szCs w:val="28"/>
        </w:rPr>
        <w:t xml:space="preserve">Органом, уполномоченным на осуществление муниципального земельного контроля в границах села Антипаюта муниципального округа Тазовский район Ямало-Ненецкого автономного округа, является </w:t>
      </w:r>
      <w:r w:rsidRPr="00DF4DA8">
        <w:rPr>
          <w:rFonts w:ascii="PT Astra Serif" w:hAnsi="PT Astra Serif" w:cs="Times New Roman"/>
          <w:sz w:val="28"/>
          <w:szCs w:val="28"/>
        </w:rPr>
        <w:lastRenderedPageBreak/>
        <w:t>администрация села Антипаюта Администрации Тазовского района</w:t>
      </w:r>
      <w:r w:rsidR="00B03239" w:rsidRPr="00DF4DA8">
        <w:rPr>
          <w:rFonts w:ascii="PT Astra Serif" w:hAnsi="PT Astra Serif" w:cs="Times New Roman"/>
          <w:sz w:val="28"/>
          <w:szCs w:val="28"/>
        </w:rPr>
        <w:t xml:space="preserve"> </w:t>
      </w:r>
      <w:r w:rsidR="00DF4DA8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B03239" w:rsidRPr="00DF4DA8">
        <w:rPr>
          <w:rFonts w:ascii="PT Astra Serif" w:hAnsi="PT Astra Serif"/>
          <w:sz w:val="28"/>
          <w:szCs w:val="28"/>
        </w:rPr>
        <w:t>(далее – орган муниципального земельного контроля)</w:t>
      </w:r>
      <w:r w:rsidRPr="00DF4DA8">
        <w:rPr>
          <w:rFonts w:ascii="PT Astra Serif" w:hAnsi="PT Astra Serif" w:cs="Times New Roman"/>
          <w:sz w:val="28"/>
          <w:szCs w:val="28"/>
        </w:rPr>
        <w:t>.</w:t>
      </w:r>
    </w:p>
    <w:p w:rsidR="00313434" w:rsidRPr="00DF4DA8" w:rsidRDefault="004D241E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hAnsi="PT Astra Serif"/>
          <w:sz w:val="28"/>
          <w:szCs w:val="28"/>
        </w:rPr>
        <w:t>Органом, уполномоченным на осуществление муниципального земельного контроля в границах села Гыда муниципального округа Тазовский район Ямало-Ненецкого автономного округа, является администрация</w:t>
      </w:r>
      <w:r w:rsidR="00DF4DA8">
        <w:rPr>
          <w:rFonts w:ascii="PT Astra Serif" w:hAnsi="PT Astra Serif"/>
          <w:sz w:val="28"/>
          <w:szCs w:val="28"/>
        </w:rPr>
        <w:t xml:space="preserve">                    </w:t>
      </w:r>
      <w:r w:rsidRPr="00DF4DA8">
        <w:rPr>
          <w:rFonts w:ascii="PT Astra Serif" w:hAnsi="PT Astra Serif"/>
          <w:sz w:val="28"/>
          <w:szCs w:val="28"/>
        </w:rPr>
        <w:t xml:space="preserve"> села Гыда Администрации Тазовского района</w:t>
      </w:r>
      <w:r w:rsidR="00B03239" w:rsidRPr="00DF4DA8">
        <w:rPr>
          <w:rFonts w:ascii="PT Astra Serif" w:hAnsi="PT Astra Serif"/>
          <w:sz w:val="28"/>
          <w:szCs w:val="28"/>
        </w:rPr>
        <w:t xml:space="preserve"> </w:t>
      </w:r>
      <w:r w:rsidR="00B03239" w:rsidRPr="00DF4DA8">
        <w:rPr>
          <w:rFonts w:ascii="PT Astra Serif" w:eastAsia="Times New Roman" w:hAnsi="PT Astra Serif"/>
          <w:sz w:val="28"/>
          <w:szCs w:val="28"/>
          <w:lang w:eastAsia="ru-RU"/>
        </w:rPr>
        <w:t>(далее – орган муниципального земельного контроля)</w:t>
      </w:r>
      <w:r w:rsidRPr="00DF4DA8">
        <w:rPr>
          <w:rFonts w:ascii="PT Astra Serif" w:hAnsi="PT Astra Serif"/>
          <w:sz w:val="28"/>
          <w:szCs w:val="28"/>
        </w:rPr>
        <w:t>.</w:t>
      </w:r>
    </w:p>
    <w:p w:rsidR="009A2462" w:rsidRPr="00DF4DA8" w:rsidRDefault="00D80454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8F7E9A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организации и проведения мероприятий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</w:t>
      </w:r>
      <w:r w:rsidR="008F7E9A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по профилактике рисков причинения вреда (ущерба) охраняемым законом ценностям,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>организации</w:t>
      </w:r>
      <w:r w:rsidR="00E70A5C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F7E9A" w:rsidRPr="00DF4DA8">
        <w:rPr>
          <w:rFonts w:ascii="PT Astra Serif" w:eastAsia="Times New Roman" w:hAnsi="PT Astra Serif"/>
          <w:sz w:val="28"/>
          <w:szCs w:val="28"/>
          <w:lang w:eastAsia="ru-RU"/>
        </w:rPr>
        <w:t>и проведения мероприятий по контролю, осуще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ствляемых без взаимодействия </w:t>
      </w:r>
      <w:r w:rsidR="008F7E9A" w:rsidRPr="00DF4DA8">
        <w:rPr>
          <w:rFonts w:ascii="PT Astra Serif" w:eastAsia="Times New Roman" w:hAnsi="PT Astra Serif"/>
          <w:sz w:val="28"/>
          <w:szCs w:val="28"/>
          <w:lang w:eastAsia="ru-RU"/>
        </w:rPr>
        <w:t>с юридическими лицами, индивидуальными предпринимателями</w:t>
      </w:r>
      <w:r w:rsidR="00285FD0" w:rsidRPr="00DF4DA8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20D1D" w:rsidRPr="00DF4DA8" w:rsidRDefault="009E73EF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в границах муниципального образования муниципальный округ Тазовский район Ямало-Ненецкого автономного округа на 2022 год (далее – </w:t>
      </w:r>
      <w:r w:rsidR="00532345" w:rsidRPr="00DF4DA8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рограмма профилактики) 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>разработана в соответствии со статьей 44 Федерального закона от 31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 июля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>2021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="00320D1D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№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248-ФЗ «О государственном контроле (надзоре)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>и муниципальном контроле в Российской Федерации», постановлением Правительства Российской Федерации от 25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 июня 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>2021</w:t>
      </w:r>
      <w:r w:rsidR="00320D1D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года 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</w:t>
      </w:r>
      <w:r w:rsidR="00BB7832" w:rsidRPr="00DF4DA8">
        <w:rPr>
          <w:rFonts w:ascii="PT Astra Serif" w:eastAsia="Times New Roman" w:hAnsi="PT Astra Serif"/>
          <w:sz w:val="28"/>
          <w:szCs w:val="28"/>
          <w:lang w:eastAsia="ru-RU"/>
        </w:rPr>
        <w:t>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BB7832" w:rsidRPr="00DF4DA8" w:rsidRDefault="00BB7832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В связи с вступлением в законную силу </w:t>
      </w:r>
      <w:r w:rsidR="00A85A49" w:rsidRPr="00DF4DA8">
        <w:rPr>
          <w:rFonts w:ascii="PT Astra Serif" w:eastAsia="Times New Roman" w:hAnsi="PT Astra Serif"/>
          <w:sz w:val="28"/>
          <w:szCs w:val="28"/>
          <w:lang w:eastAsia="ru-RU"/>
        </w:rPr>
        <w:t>Положения о муниципальном земельном контроле на территории муниципального образования муниципальный округ Тазовский район Ямало-Ненецкого автономного округа</w:t>
      </w:r>
      <w:r w:rsidR="005400D8" w:rsidRPr="00DF4DA8">
        <w:rPr>
          <w:rFonts w:ascii="PT Astra Serif" w:eastAsia="Times New Roman" w:hAnsi="PT Astra Serif"/>
          <w:sz w:val="28"/>
          <w:szCs w:val="28"/>
          <w:lang w:eastAsia="ru-RU"/>
        </w:rPr>
        <w:t>, утвержденного Решением Думы Тазовского района от 08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 сентября </w:t>
      </w:r>
      <w:r w:rsidR="005400D8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2021 </w:t>
      </w:r>
      <w:r w:rsidR="000D476F">
        <w:rPr>
          <w:rFonts w:ascii="PT Astra Serif" w:eastAsia="Times New Roman" w:hAnsi="PT Astra Serif"/>
          <w:sz w:val="28"/>
          <w:szCs w:val="28"/>
          <w:lang w:eastAsia="ru-RU"/>
        </w:rPr>
        <w:t xml:space="preserve">года                     </w:t>
      </w:r>
      <w:r w:rsidR="005400D8" w:rsidRPr="00DF4DA8">
        <w:rPr>
          <w:rFonts w:ascii="PT Astra Serif" w:eastAsia="Times New Roman" w:hAnsi="PT Astra Serif"/>
          <w:sz w:val="28"/>
          <w:szCs w:val="28"/>
          <w:lang w:eastAsia="ru-RU"/>
        </w:rPr>
        <w:t>№ 12-8-79</w:t>
      </w:r>
      <w:r w:rsidR="005226A6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01ECB" w:rsidRPr="00DF4DA8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F53157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рограмма профилактики разработана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E141B" w:rsidRPr="00DF4DA8" w:rsidRDefault="008E141B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</w:t>
      </w:r>
      <w:r w:rsidR="00A50E2A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загрязнение земельных участков отходами производства               и потребления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32A95" w:rsidRPr="00DF4DA8" w:rsidRDefault="008E141B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Проведение профилактических мероприятий направлен</w:t>
      </w:r>
      <w:r w:rsidR="005835D3" w:rsidRPr="00DF4DA8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к добросовестности, способ</w:t>
      </w:r>
      <w:r w:rsidR="005835D3" w:rsidRPr="00DF4DA8">
        <w:rPr>
          <w:rFonts w:ascii="PT Astra Serif" w:eastAsia="Times New Roman" w:hAnsi="PT Astra Serif"/>
          <w:sz w:val="28"/>
          <w:szCs w:val="28"/>
          <w:lang w:eastAsia="ru-RU"/>
        </w:rPr>
        <w:t>ствование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132A95" w:rsidRPr="00DF4DA8" w:rsidRDefault="00132A95" w:rsidP="00212B37">
      <w:pPr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C712D" w:rsidRPr="00DF4DA8" w:rsidRDefault="000A008F" w:rsidP="00212B37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</w:t>
      </w:r>
      <w:r w:rsidR="006C633D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2</w:t>
      </w: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. </w:t>
      </w:r>
      <w:r w:rsidR="00C35108"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Цели и задачи реализации программы профилактики</w:t>
      </w:r>
    </w:p>
    <w:p w:rsidR="000A008F" w:rsidRPr="00DF4DA8" w:rsidRDefault="000A008F" w:rsidP="00212B37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A008F" w:rsidRPr="00DF4DA8" w:rsidRDefault="0049261E" w:rsidP="00212B37">
      <w:pPr>
        <w:tabs>
          <w:tab w:val="left" w:pos="1134"/>
        </w:tabs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Основными целями п</w:t>
      </w:r>
      <w:r w:rsidR="006F1261" w:rsidRPr="00DF4DA8">
        <w:rPr>
          <w:rFonts w:ascii="PT Astra Serif" w:eastAsia="Times New Roman" w:hAnsi="PT Astra Serif"/>
          <w:sz w:val="28"/>
          <w:szCs w:val="28"/>
          <w:lang w:eastAsia="ru-RU"/>
        </w:rPr>
        <w:t>рограммы профилактики являются:</w:t>
      </w:r>
    </w:p>
    <w:p w:rsidR="006F1261" w:rsidRPr="00DF4DA8" w:rsidRDefault="008E686C" w:rsidP="00212B37">
      <w:pPr>
        <w:pStyle w:val="a5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:rsidR="008E686C" w:rsidRPr="00DF4DA8" w:rsidRDefault="008E686C" w:rsidP="00212B37">
      <w:pPr>
        <w:pStyle w:val="a5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0F3514" w:rsidRPr="00DF4DA8" w:rsidRDefault="00B063C3" w:rsidP="00212B37">
      <w:pPr>
        <w:pStyle w:val="a5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Создание условий для доведения обязательных требований                        до контролируемых лиц, повышение информированности о способах </w:t>
      </w:r>
      <w:r w:rsidR="00AE168D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их соблюдения.</w:t>
      </w:r>
    </w:p>
    <w:p w:rsidR="00AD6415" w:rsidRPr="00DF4DA8" w:rsidRDefault="00AD6415" w:rsidP="00212B37">
      <w:pPr>
        <w:tabs>
          <w:tab w:val="left" w:pos="1134"/>
        </w:tabs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Основными задачами</w:t>
      </w:r>
      <w:r w:rsidR="0049261E" w:rsidRPr="00DF4DA8">
        <w:rPr>
          <w:rFonts w:ascii="PT Astra Serif" w:eastAsia="Times New Roman" w:hAnsi="PT Astra Serif"/>
          <w:sz w:val="28"/>
          <w:szCs w:val="28"/>
          <w:lang w:eastAsia="ru-RU"/>
        </w:rPr>
        <w:t xml:space="preserve"> п</w:t>
      </w: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рограммы профилактики являются:</w:t>
      </w:r>
    </w:p>
    <w:p w:rsidR="00A16FB6" w:rsidRPr="00DF4DA8" w:rsidRDefault="00A16FB6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16FB6" w:rsidRPr="00DF4DA8" w:rsidRDefault="00A16FB6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Повышение правосознания и правовой культуры подконтрольных субъектов;</w:t>
      </w:r>
    </w:p>
    <w:p w:rsidR="00A16FB6" w:rsidRPr="00DF4DA8" w:rsidRDefault="003D7EE0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D668FF" w:rsidRPr="00DF4DA8">
        <w:rPr>
          <w:rFonts w:ascii="PT Astra Serif" w:eastAsia="Times New Roman" w:hAnsi="PT Astra Serif"/>
          <w:sz w:val="28"/>
          <w:szCs w:val="28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="00A16FB6" w:rsidRPr="00DF4DA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A16FB6" w:rsidRPr="00DF4DA8" w:rsidRDefault="00193D2E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="00A16FB6" w:rsidRPr="00DF4DA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AD6415" w:rsidRPr="00DF4DA8" w:rsidRDefault="00A16FB6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</w:t>
      </w:r>
      <w:r w:rsidR="001C32D4" w:rsidRPr="00DF4DA8">
        <w:rPr>
          <w:rFonts w:ascii="PT Astra Serif" w:eastAsia="Times New Roman" w:hAnsi="PT Astra Serif"/>
          <w:sz w:val="28"/>
          <w:szCs w:val="28"/>
          <w:lang w:eastAsia="ru-RU"/>
        </w:rPr>
        <w:t>руемым лицам уровней риска;</w:t>
      </w:r>
    </w:p>
    <w:p w:rsidR="001C32D4" w:rsidRPr="00DF4DA8" w:rsidRDefault="001C32D4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1C32D4" w:rsidRPr="00DF4DA8" w:rsidRDefault="00304732" w:rsidP="00212B37">
      <w:pPr>
        <w:pStyle w:val="a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sz w:val="28"/>
          <w:szCs w:val="28"/>
          <w:lang w:eastAsia="ru-RU"/>
        </w:rPr>
        <w:t>Повышение уровня правовой грамотности подконтрольных субъектов,         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71112" w:rsidRPr="00DF4DA8" w:rsidRDefault="00971112" w:rsidP="00212B37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33F63" w:rsidRPr="00DF4DA8" w:rsidRDefault="00333F63" w:rsidP="00212B37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333F63" w:rsidRPr="00DF4DA8" w:rsidRDefault="00333F63" w:rsidP="00212B37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701"/>
        <w:gridCol w:w="3261"/>
      </w:tblGrid>
      <w:tr w:rsidR="00333F63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12B37" w:rsidRPr="00DF4DA8" w:rsidTr="00212B37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4</w:t>
            </w:r>
          </w:p>
        </w:tc>
      </w:tr>
      <w:tr w:rsidR="00333F63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п</w:t>
            </w:r>
            <w:r w:rsidR="00333F63" w:rsidRPr="00DF4DA8">
              <w:rPr>
                <w:rFonts w:ascii="PT Astra Serif" w:hAnsi="PT Astra Serif"/>
                <w:iCs/>
                <w:szCs w:val="24"/>
              </w:rPr>
              <w:t>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CD0D48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епартамент имущественных </w:t>
            </w:r>
            <w:r w:rsidR="0097241A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                           </w:t>
            </w:r>
            <w:r w:rsidR="00CD0D48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и земельных отношений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CB3ED0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Находка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CB3ED0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2C6F87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Антипаюта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2C6F87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2C6F87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дминистрация села Гыда Администрации Тазовского района</w:t>
            </w:r>
          </w:p>
        </w:tc>
      </w:tr>
      <w:tr w:rsidR="00333F63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п</w:t>
            </w:r>
            <w:r w:rsidR="00333F63" w:rsidRPr="00DF4DA8">
              <w:rPr>
                <w:rFonts w:ascii="PT Astra Serif" w:hAnsi="PT Astra Serif"/>
                <w:iCs/>
                <w:szCs w:val="24"/>
              </w:rPr>
              <w:t>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B2589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епартамент имущественных </w:t>
            </w:r>
            <w:r w:rsidR="0097241A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                        </w:t>
            </w:r>
            <w:r w:rsidR="00B2589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и земельных отношений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B2589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Находка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B2589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Антипаюта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B2589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дминистрация села Гыда Администрации Тазовского района</w:t>
            </w:r>
          </w:p>
        </w:tc>
      </w:tr>
      <w:tr w:rsidR="00333F63" w:rsidRPr="00DF4DA8" w:rsidTr="00212B37">
        <w:trPr>
          <w:trHeight w:val="6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333F63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CE" w:rsidRPr="00DF4DA8" w:rsidRDefault="00333F63" w:rsidP="00212B37">
            <w:pPr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Консультирование:</w:t>
            </w:r>
          </w:p>
          <w:p w:rsidR="00212B37" w:rsidRDefault="00333F63" w:rsidP="00212B37">
            <w:pPr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 xml:space="preserve">1.Инспекторы осуществляют консультирование контролируемых лиц </w:t>
            </w:r>
          </w:p>
          <w:p w:rsidR="00333F63" w:rsidRPr="00DF4DA8" w:rsidRDefault="00333F63" w:rsidP="00212B37">
            <w:pPr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и их представителей:</w:t>
            </w:r>
          </w:p>
          <w:p w:rsidR="00333F63" w:rsidRPr="00DF4DA8" w:rsidRDefault="00333F63" w:rsidP="00212B37">
            <w:pPr>
              <w:ind w:firstLine="284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F63" w:rsidRPr="00DF4DA8" w:rsidRDefault="00333F63" w:rsidP="00212B37">
            <w:pPr>
              <w:ind w:firstLine="284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 xml:space="preserve">2) посредством размещения </w:t>
            </w:r>
            <w:r w:rsidR="00E9492A" w:rsidRPr="00DF4DA8">
              <w:rPr>
                <w:rFonts w:ascii="PT Astra Serif" w:hAnsi="PT Astra Serif"/>
                <w:szCs w:val="24"/>
              </w:rPr>
              <w:t xml:space="preserve">                                   </w:t>
            </w:r>
            <w:r w:rsidRPr="00DF4DA8">
              <w:rPr>
                <w:rFonts w:ascii="PT Astra Serif" w:hAnsi="PT Astra Serif"/>
                <w:szCs w:val="24"/>
              </w:rPr>
              <w:t xml:space="preserve">на официальном сайте </w:t>
            </w:r>
            <w:r w:rsidR="00DF4DA8">
              <w:rPr>
                <w:rFonts w:ascii="PT Astra Serif" w:hAnsi="PT Astra Serif"/>
                <w:szCs w:val="24"/>
              </w:rPr>
              <w:t>органов местного самоуправления муниципального образования  Тазовский</w:t>
            </w:r>
            <w:r w:rsidR="001A7172" w:rsidRPr="00DF4DA8">
              <w:rPr>
                <w:rFonts w:ascii="PT Astra Serif" w:hAnsi="PT Astra Serif"/>
                <w:szCs w:val="24"/>
              </w:rPr>
              <w:t xml:space="preserve"> район</w:t>
            </w:r>
            <w:r w:rsidR="00DF4DA8">
              <w:rPr>
                <w:rFonts w:ascii="PT Astra Serif" w:hAnsi="PT Astra Serif"/>
                <w:szCs w:val="24"/>
              </w:rPr>
              <w:t xml:space="preserve"> Ямало-Ненецкого автономного округа</w:t>
            </w:r>
            <w:r w:rsidR="001A7172" w:rsidRPr="00DF4DA8">
              <w:rPr>
                <w:rFonts w:ascii="PT Astra Serif" w:hAnsi="PT Astra Serif"/>
                <w:szCs w:val="24"/>
              </w:rPr>
              <w:t xml:space="preserve">, </w:t>
            </w:r>
            <w:r w:rsid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епартамента имуществ</w:t>
            </w:r>
            <w:r w:rsid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енных</w:t>
            </w:r>
            <w:r w:rsidR="00E9492A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 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и земельных отношений Администрации Тазовского района; </w:t>
            </w:r>
            <w:r w:rsidR="00212B37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дминистрации села Находка Администрации Тазовского района; </w:t>
            </w:r>
            <w:r w:rsidR="00212B37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дминистрации села Антипаюта Администрации Тазовского района; </w:t>
            </w:r>
            <w:r w:rsidR="00212B37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дминистрации села Гыда Администрации Тазовского района</w:t>
            </w:r>
            <w:r w:rsidRPr="00DF4DA8">
              <w:rPr>
                <w:rFonts w:ascii="PT Astra Serif" w:hAnsi="PT Astra Serif"/>
                <w:szCs w:val="24"/>
              </w:rPr>
              <w:t xml:space="preserve"> письменного разъяснения по однотипным обращениям контролируемых лиц</w:t>
            </w:r>
            <w:r w:rsidR="0097241A" w:rsidRPr="00DF4DA8">
              <w:rPr>
                <w:rFonts w:ascii="PT Astra Serif" w:hAnsi="PT Astra Serif"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szCs w:val="24"/>
              </w:rPr>
              <w:t>и их представителей,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п</w:t>
            </w:r>
            <w:r w:rsidR="00333F63" w:rsidRPr="00DF4DA8">
              <w:rPr>
                <w:rFonts w:ascii="PT Astra Serif" w:hAnsi="PT Astra Serif"/>
                <w:iCs/>
                <w:szCs w:val="24"/>
              </w:rPr>
              <w:t>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епартамент имущественных </w:t>
            </w:r>
            <w:r w:rsidR="0097241A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                            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и земельных отношений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Находка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Антипаюта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1A7172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дминистрация села Гыда Администрации Тазовского района</w:t>
            </w:r>
          </w:p>
        </w:tc>
      </w:tr>
      <w:tr w:rsidR="00212B37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lastRenderedPageBreak/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ind w:firstLine="284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4</w:t>
            </w:r>
          </w:p>
        </w:tc>
      </w:tr>
      <w:tr w:rsidR="00212B37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подписанного уполномоченным должностным лицом органа муниципального земельного контроля.</w:t>
            </w:r>
          </w:p>
          <w:p w:rsidR="00212B37" w:rsidRPr="00DF4DA8" w:rsidRDefault="00212B37" w:rsidP="00212B37">
            <w:pPr>
              <w:ind w:firstLine="284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2.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12B37" w:rsidRPr="00DF4DA8" w:rsidRDefault="00212B37" w:rsidP="00212B37">
            <w:pPr>
              <w:pStyle w:val="ConsPlusNormal"/>
              <w:ind w:firstLine="284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3.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szCs w:val="24"/>
              </w:rPr>
              <w:t>Письменное консультирование контролируемых лиц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szCs w:val="24"/>
              </w:rPr>
              <w:t>и их представителей осуществляется по следующим вопросам: порядок обжалования решений органа муниципального земельного контроля.</w:t>
            </w:r>
          </w:p>
          <w:p w:rsidR="00212B37" w:rsidRDefault="00212B37" w:rsidP="00212B37">
            <w:pPr>
              <w:pStyle w:val="ConsPlusNormal"/>
              <w:ind w:firstLine="284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4.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szCs w:val="24"/>
              </w:rPr>
              <w:t>Контролируем</w:t>
            </w:r>
            <w:r>
              <w:rPr>
                <w:rFonts w:ascii="PT Astra Serif" w:hAnsi="PT Astra Serif"/>
                <w:szCs w:val="24"/>
              </w:rPr>
              <w:t>ое лицо вправе направить запрос</w:t>
            </w:r>
            <w:r w:rsidRPr="00DF4DA8">
              <w:rPr>
                <w:rFonts w:ascii="PT Astra Serif" w:hAnsi="PT Astra Serif"/>
                <w:szCs w:val="24"/>
              </w:rPr>
              <w:t xml:space="preserve"> о предоставлении письменного ответа в сроки, установленные Федеральным </w:t>
            </w:r>
            <w:hyperlink r:id="rId8" w:history="1">
              <w:r w:rsidRPr="00DF4DA8">
                <w:rPr>
                  <w:rFonts w:ascii="PT Astra Serif" w:hAnsi="PT Astra Serif"/>
                  <w:szCs w:val="24"/>
                </w:rPr>
                <w:t>законом</w:t>
              </w:r>
            </w:hyperlink>
          </w:p>
          <w:p w:rsidR="000D476F" w:rsidRDefault="00212B37" w:rsidP="000D476F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от 02</w:t>
            </w:r>
            <w:r w:rsidR="000D476F">
              <w:rPr>
                <w:rFonts w:ascii="PT Astra Serif" w:hAnsi="PT Astra Serif"/>
                <w:szCs w:val="24"/>
              </w:rPr>
              <w:t xml:space="preserve"> мая </w:t>
            </w:r>
            <w:r w:rsidRPr="00DF4DA8">
              <w:rPr>
                <w:rFonts w:ascii="PT Astra Serif" w:hAnsi="PT Astra Serif"/>
                <w:szCs w:val="24"/>
              </w:rPr>
              <w:t xml:space="preserve">2006 </w:t>
            </w:r>
            <w:r w:rsidR="000D476F">
              <w:rPr>
                <w:rFonts w:ascii="PT Astra Serif" w:hAnsi="PT Astra Serif"/>
                <w:szCs w:val="24"/>
              </w:rPr>
              <w:t xml:space="preserve">года </w:t>
            </w:r>
            <w:r w:rsidRPr="00DF4DA8">
              <w:rPr>
                <w:rFonts w:ascii="PT Astra Serif" w:hAnsi="PT Astra Serif"/>
                <w:szCs w:val="24"/>
              </w:rPr>
              <w:t xml:space="preserve">№ 59-ФЗ </w:t>
            </w:r>
          </w:p>
          <w:p w:rsidR="00212B37" w:rsidRPr="00DF4DA8" w:rsidRDefault="00212B37" w:rsidP="000D476F">
            <w:pPr>
              <w:pStyle w:val="ConsPlusNormal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szCs w:val="24"/>
              </w:rPr>
              <w:t>«О порядке рассмотрения обращени</w:t>
            </w:r>
            <w:r>
              <w:rPr>
                <w:rFonts w:ascii="PT Astra Serif" w:hAnsi="PT Astra Serif"/>
                <w:szCs w:val="24"/>
              </w:rPr>
              <w:t>й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</w:p>
        </w:tc>
      </w:tr>
      <w:tr w:rsidR="00F05A6E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DF4DA8" w:rsidRDefault="00F05A6E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DF4DA8" w:rsidRDefault="00F05A6E" w:rsidP="00212B37">
            <w:pPr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н</w:t>
            </w:r>
            <w:r w:rsidR="00F65734" w:rsidRPr="00DF4DA8">
              <w:rPr>
                <w:rFonts w:ascii="PT Astra Serif" w:hAnsi="PT Astra Serif"/>
                <w:iCs/>
                <w:szCs w:val="24"/>
              </w:rPr>
              <w:t xml:space="preserve">е менее </w:t>
            </w:r>
            <w:r w:rsidR="00D43947" w:rsidRPr="00DF4DA8">
              <w:rPr>
                <w:rFonts w:ascii="PT Astra Serif" w:hAnsi="PT Astra Serif"/>
                <w:iCs/>
                <w:szCs w:val="24"/>
              </w:rPr>
              <w:t>1 раз</w:t>
            </w:r>
            <w:r w:rsidR="00F65734" w:rsidRPr="00DF4DA8">
              <w:rPr>
                <w:rFonts w:ascii="PT Astra Serif" w:hAnsi="PT Astra Serif"/>
                <w:iCs/>
                <w:szCs w:val="24"/>
              </w:rPr>
              <w:t>а</w:t>
            </w:r>
            <w:r w:rsidR="00D43947" w:rsidRPr="00DF4DA8">
              <w:rPr>
                <w:rFonts w:ascii="PT Astra Serif" w:hAnsi="PT Astra Serif"/>
                <w:iCs/>
                <w:szCs w:val="24"/>
              </w:rPr>
              <w:t xml:space="preserve"> в квартал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5E7B5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епартамент имущественных и земельных отношений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5E7B5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Находка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5E7B5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Антипаюта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5E7B5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дминистрация села Гыда Администрации Тазовского района</w:t>
            </w:r>
          </w:p>
        </w:tc>
      </w:tr>
      <w:tr w:rsidR="00D65B82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DF4DA8" w:rsidRDefault="00D65B82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32" w:rsidRPr="00DF4DA8" w:rsidRDefault="00D65B82" w:rsidP="00212B37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Самообследование</w:t>
            </w:r>
            <w:r w:rsidR="00593932" w:rsidRPr="00DF4DA8">
              <w:rPr>
                <w:rFonts w:ascii="PT Astra Serif" w:hAnsi="PT Astra Serif"/>
                <w:iCs/>
                <w:szCs w:val="24"/>
              </w:rPr>
              <w:t>, включающее в себя:</w:t>
            </w:r>
          </w:p>
          <w:p w:rsidR="00593932" w:rsidRPr="00DF4DA8" w:rsidRDefault="00593932" w:rsidP="00212B37">
            <w:pPr>
              <w:autoSpaceDE w:val="0"/>
              <w:autoSpaceDN w:val="0"/>
              <w:adjustRightInd w:val="0"/>
              <w:ind w:firstLine="142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 xml:space="preserve">1. </w:t>
            </w:r>
            <w:r w:rsidR="009C5379" w:rsidRPr="00DF4DA8">
              <w:rPr>
                <w:rFonts w:ascii="PT Astra Serif" w:hAnsi="PT Astra Serif"/>
                <w:iCs/>
                <w:szCs w:val="24"/>
              </w:rPr>
              <w:t xml:space="preserve">(планирование </w:t>
            </w:r>
            <w:r w:rsidR="00DF4DA8">
              <w:rPr>
                <w:rFonts w:ascii="PT Astra Serif" w:hAnsi="PT Astra Serif"/>
                <w:iCs/>
                <w:szCs w:val="24"/>
              </w:rPr>
              <w:t xml:space="preserve">и подготовка работ </w:t>
            </w:r>
            <w:r w:rsidR="009C5379" w:rsidRPr="00DF4DA8">
              <w:rPr>
                <w:rFonts w:ascii="PT Astra Serif" w:hAnsi="PT Astra Serif"/>
                <w:iCs/>
                <w:szCs w:val="24"/>
              </w:rPr>
              <w:t xml:space="preserve">по самообследованию объектов контроля (земельных участков); </w:t>
            </w:r>
          </w:p>
          <w:p w:rsidR="00D65B82" w:rsidRPr="00DF4DA8" w:rsidRDefault="00593932" w:rsidP="00212B37">
            <w:pPr>
              <w:autoSpaceDE w:val="0"/>
              <w:autoSpaceDN w:val="0"/>
              <w:adjustRightInd w:val="0"/>
              <w:ind w:firstLine="142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 xml:space="preserve">2. </w:t>
            </w:r>
            <w:r w:rsidR="009C5379" w:rsidRPr="00DF4DA8">
              <w:rPr>
                <w:rFonts w:ascii="PT Astra Serif" w:hAnsi="PT Astra Serif"/>
                <w:iCs/>
                <w:szCs w:val="24"/>
              </w:rPr>
              <w:t xml:space="preserve">организация и проведение самообследования объектов контроля (земельных участков): </w:t>
            </w:r>
            <w:r w:rsidR="00350B2F" w:rsidRPr="00DF4DA8">
              <w:rPr>
                <w:rFonts w:ascii="PT Astra Serif" w:hAnsi="PT Astra Serif"/>
                <w:iCs/>
                <w:szCs w:val="24"/>
              </w:rPr>
              <w:t xml:space="preserve">проверка наличия правоустанавливающих документов на земельные участки, фото-видео фиксация объектов контроля (земельных участков); </w:t>
            </w:r>
            <w:r w:rsidR="00F2245F" w:rsidRPr="00DF4DA8">
              <w:rPr>
                <w:rFonts w:ascii="PT Astra Serif" w:hAnsi="PT Astra Serif"/>
                <w:iCs/>
                <w:szCs w:val="24"/>
              </w:rPr>
              <w:t>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:rsidR="00212B37" w:rsidRDefault="00593932" w:rsidP="00212B37">
            <w:pPr>
              <w:autoSpaceDE w:val="0"/>
              <w:autoSpaceDN w:val="0"/>
              <w:adjustRightInd w:val="0"/>
              <w:ind w:firstLine="142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 xml:space="preserve">3. обобщение полученных результатов </w:t>
            </w:r>
          </w:p>
          <w:p w:rsidR="00593932" w:rsidRPr="00DF4DA8" w:rsidRDefault="00593932" w:rsidP="00212B37">
            <w:pPr>
              <w:autoSpaceDE w:val="0"/>
              <w:autoSpaceDN w:val="0"/>
              <w:adjustRightInd w:val="0"/>
              <w:ind w:firstLine="142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и на их основе формирование отчета.</w:t>
            </w:r>
          </w:p>
          <w:p w:rsidR="00593932" w:rsidRPr="00DF4DA8" w:rsidRDefault="00593932" w:rsidP="00212B37">
            <w:pPr>
              <w:autoSpaceDE w:val="0"/>
              <w:autoSpaceDN w:val="0"/>
              <w:adjustRightInd w:val="0"/>
              <w:ind w:firstLine="142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4. рассмотрение отчета</w:t>
            </w:r>
            <w:r w:rsidR="00116B1A" w:rsidRPr="00DF4DA8">
              <w:rPr>
                <w:rFonts w:ascii="PT Astra Serif" w:hAnsi="PT Astra Serif"/>
                <w:iCs/>
                <w:szCs w:val="24"/>
              </w:rPr>
              <w:t xml:space="preserve"> о самообследовании</w:t>
            </w:r>
            <w:r w:rsidRPr="00DF4DA8">
              <w:rPr>
                <w:rFonts w:ascii="PT Astra Serif" w:hAnsi="PT Astra Serif"/>
                <w:iCs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п</w:t>
            </w:r>
            <w:r w:rsidR="003513B1" w:rsidRPr="00DF4DA8">
              <w:rPr>
                <w:rFonts w:ascii="PT Astra Serif" w:hAnsi="PT Astra Serif"/>
                <w:iCs/>
                <w:szCs w:val="24"/>
              </w:rPr>
              <w:t>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DF4DA8" w:rsidRDefault="00EF791D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Подконтрольные субъекты</w:t>
            </w:r>
          </w:p>
        </w:tc>
      </w:tr>
      <w:tr w:rsidR="00CB568E" w:rsidRPr="00DF4DA8" w:rsidTr="00212B37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E" w:rsidRPr="00DF4DA8" w:rsidRDefault="00D65B82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6</w:t>
            </w:r>
            <w:r w:rsidR="00CB568E" w:rsidRPr="00DF4DA8">
              <w:rPr>
                <w:rFonts w:ascii="PT Astra Serif" w:hAnsi="PT Astra Serif"/>
                <w:iCs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C50921" w:rsidP="00212B37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 xml:space="preserve">Обобщение </w:t>
            </w:r>
            <w:r w:rsidR="00B735DE" w:rsidRPr="00DF4DA8">
              <w:rPr>
                <w:rFonts w:ascii="PT Astra Serif" w:hAnsi="PT Astra Serif"/>
                <w:iCs/>
                <w:szCs w:val="24"/>
              </w:rPr>
              <w:t>(</w:t>
            </w:r>
            <w:r w:rsidR="007B6559" w:rsidRPr="00DF4DA8">
              <w:rPr>
                <w:rFonts w:ascii="PT Astra Serif" w:hAnsi="PT Astra Serif"/>
                <w:iCs/>
                <w:szCs w:val="24"/>
              </w:rPr>
              <w:t xml:space="preserve">доклад) </w:t>
            </w:r>
            <w:r w:rsidRPr="00DF4DA8">
              <w:rPr>
                <w:rFonts w:ascii="PT Astra Serif" w:hAnsi="PT Astra Serif"/>
                <w:iCs/>
                <w:szCs w:val="24"/>
              </w:rPr>
              <w:t>правоприменительной практики</w:t>
            </w:r>
            <w:r w:rsidR="00877D30" w:rsidRPr="00DF4DA8">
              <w:rPr>
                <w:rFonts w:ascii="PT Astra Serif" w:hAnsi="PT Astra Serif"/>
                <w:iCs/>
                <w:szCs w:val="24"/>
              </w:rPr>
              <w:t xml:space="preserve"> </w:t>
            </w:r>
          </w:p>
          <w:p w:rsidR="00CB568E" w:rsidRPr="00DF4DA8" w:rsidRDefault="00877D30" w:rsidP="00212B37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 xml:space="preserve">(в соответствии </w:t>
            </w:r>
            <w:r w:rsidR="00DF4DA8">
              <w:rPr>
                <w:rFonts w:ascii="PT Astra Serif" w:hAnsi="PT Astra Serif"/>
                <w:iCs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iCs/>
                <w:szCs w:val="24"/>
              </w:rPr>
              <w:t xml:space="preserve">с пунктом 23 раздела </w:t>
            </w:r>
            <w:r w:rsidR="00E9492A" w:rsidRPr="00DF4DA8">
              <w:rPr>
                <w:rFonts w:ascii="PT Astra Serif" w:hAnsi="PT Astra Serif"/>
                <w:iCs/>
                <w:szCs w:val="24"/>
              </w:rPr>
              <w:t xml:space="preserve">                  </w:t>
            </w:r>
            <w:r w:rsidRPr="00DF4DA8">
              <w:rPr>
                <w:rFonts w:ascii="PT Astra Serif" w:hAnsi="PT Astra Serif"/>
                <w:iCs/>
                <w:szCs w:val="24"/>
                <w:lang w:val="en-US"/>
              </w:rPr>
              <w:t>III</w:t>
            </w:r>
            <w:r w:rsidR="00DF4DA8">
              <w:rPr>
                <w:rFonts w:ascii="PT Astra Serif" w:hAnsi="PT Astra Serif"/>
                <w:iCs/>
                <w:szCs w:val="24"/>
              </w:rPr>
              <w:t xml:space="preserve"> Положения</w:t>
            </w:r>
            <w:r w:rsidR="00E9492A" w:rsidRPr="00DF4DA8">
              <w:rPr>
                <w:rFonts w:ascii="PT Astra Serif" w:hAnsi="PT Astra Serif"/>
                <w:iCs/>
                <w:szCs w:val="24"/>
              </w:rPr>
              <w:t xml:space="preserve"> </w:t>
            </w:r>
            <w:r w:rsidRPr="00DF4DA8">
              <w:rPr>
                <w:rFonts w:ascii="PT Astra Serif" w:hAnsi="PT Astra Serif"/>
                <w:iCs/>
                <w:szCs w:val="24"/>
              </w:rPr>
              <w:t xml:space="preserve">о муниципальном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E" w:rsidRPr="00DF4DA8" w:rsidRDefault="00093352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не позднее 30 апреля года, следующего                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E" w:rsidRPr="00DF4DA8" w:rsidRDefault="00DF4DA8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</w:t>
            </w:r>
            <w:r w:rsidR="00C5092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епартамент имущественных и земельных отношений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="00C50921"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</w:t>
            </w:r>
          </w:p>
        </w:tc>
      </w:tr>
      <w:tr w:rsidR="00212B37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lastRenderedPageBreak/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  <w:r>
              <w:rPr>
                <w:rFonts w:ascii="PT Astra Serif" w:hAnsi="PT Astra Serif"/>
                <w:iCs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4</w:t>
            </w:r>
          </w:p>
        </w:tc>
      </w:tr>
      <w:tr w:rsidR="00212B37" w:rsidRPr="00DF4DA8" w:rsidTr="0021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0D476F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Cs w:val="24"/>
              </w:rPr>
            </w:pPr>
            <w:r w:rsidRPr="00DF4DA8">
              <w:rPr>
                <w:rFonts w:ascii="PT Astra Serif" w:hAnsi="PT Astra Serif"/>
                <w:iCs/>
                <w:szCs w:val="24"/>
              </w:rPr>
              <w:t>земельном контроле на территории муниципального образования муниципальный округ Тазовский район Ямало-Ненецкого автономного округа, утвержденного решением Думы Тазовского района от 08</w:t>
            </w:r>
            <w:r w:rsidR="000D476F">
              <w:rPr>
                <w:rFonts w:ascii="PT Astra Serif" w:hAnsi="PT Astra Serif"/>
                <w:iCs/>
                <w:szCs w:val="24"/>
              </w:rPr>
              <w:t xml:space="preserve"> сентября </w:t>
            </w:r>
            <w:r w:rsidRPr="00DF4DA8">
              <w:rPr>
                <w:rFonts w:ascii="PT Astra Serif" w:hAnsi="PT Astra Serif"/>
                <w:iCs/>
                <w:szCs w:val="24"/>
              </w:rPr>
              <w:t>2021 года № 12-8-79)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Pr="00DF4DA8" w:rsidRDefault="00212B37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center"/>
              <w:rPr>
                <w:rStyle w:val="285pt"/>
                <w:rFonts w:ascii="PT Astra Serif" w:eastAsia="Calibri" w:hAnsi="PT Astra Serif"/>
                <w:sz w:val="22"/>
                <w:szCs w:val="24"/>
              </w:rPr>
            </w:pPr>
            <w:r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Находка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 xml:space="preserve">дминистрация села Антипаюта Администрации Тазовского района; </w:t>
            </w:r>
            <w:r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а</w:t>
            </w:r>
            <w:r w:rsidRPr="00DF4DA8">
              <w:rPr>
                <w:rStyle w:val="285pt"/>
                <w:rFonts w:ascii="PT Astra Serif" w:eastAsia="Calibri" w:hAnsi="PT Astra Serif"/>
                <w:sz w:val="22"/>
                <w:szCs w:val="24"/>
              </w:rPr>
              <w:t>дминистрация села Гыда Администрации Тазовского района</w:t>
            </w:r>
          </w:p>
        </w:tc>
      </w:tr>
      <w:tr w:rsidR="00212B37" w:rsidTr="00212B3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702" w:type="dxa"/>
            <w:gridSpan w:val="4"/>
          </w:tcPr>
          <w:p w:rsidR="00212B37" w:rsidRDefault="00212B37" w:rsidP="00212B3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33F63" w:rsidRPr="00DF4DA8" w:rsidRDefault="00333F63" w:rsidP="00212B37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12B37" w:rsidRDefault="00DE5AE0" w:rsidP="00212B37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Раздел 4. Показатели результативности </w:t>
      </w:r>
    </w:p>
    <w:p w:rsidR="00DE5AE0" w:rsidRPr="00DF4DA8" w:rsidRDefault="00DE5AE0" w:rsidP="00212B37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4DA8">
        <w:rPr>
          <w:rFonts w:ascii="PT Astra Serif" w:eastAsia="Times New Roman" w:hAnsi="PT Astra Serif"/>
          <w:b/>
          <w:sz w:val="28"/>
          <w:szCs w:val="28"/>
          <w:lang w:eastAsia="ru-RU"/>
        </w:rPr>
        <w:t>и эффективности программы профилактики</w:t>
      </w:r>
    </w:p>
    <w:p w:rsidR="00071BDB" w:rsidRPr="00DF4DA8" w:rsidRDefault="00071BDB" w:rsidP="00212B37">
      <w:pPr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071BDB" w:rsidRPr="00DF4DA8" w:rsidTr="00212B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Величина</w:t>
            </w:r>
          </w:p>
        </w:tc>
      </w:tr>
      <w:tr w:rsidR="00071BDB" w:rsidRPr="00DF4DA8" w:rsidTr="00212B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7" w:rsidRDefault="00212B37" w:rsidP="00212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</w:t>
            </w:r>
            <w:r w:rsidR="00DF4DA8" w:rsidRPr="00DF4DA8">
              <w:rPr>
                <w:rFonts w:ascii="PT Astra Serif" w:hAnsi="PT Astra Serif"/>
              </w:rPr>
              <w:t xml:space="preserve"> </w:t>
            </w:r>
            <w:r w:rsidR="00071BDB" w:rsidRPr="00DF4DA8">
              <w:rPr>
                <w:rFonts w:ascii="PT Astra Serif" w:hAnsi="PT Astra Serif"/>
              </w:rPr>
              <w:t xml:space="preserve">на официальном сайте </w:t>
            </w:r>
            <w:r w:rsidR="003141D1" w:rsidRPr="00DF4DA8">
              <w:rPr>
                <w:rFonts w:ascii="PT Astra Serif" w:hAnsi="PT Astra Serif"/>
              </w:rPr>
              <w:t>органа муниципального земельного контроля</w:t>
            </w:r>
            <w:r w:rsidR="00071BDB" w:rsidRPr="00DF4DA8">
              <w:rPr>
                <w:rFonts w:ascii="PT Astra Serif" w:hAnsi="PT Astra Serif"/>
              </w:rPr>
              <w:t xml:space="preserve"> в сети «Интернет» </w:t>
            </w:r>
            <w:r w:rsidR="00DF4DA8" w:rsidRPr="00DF4DA8">
              <w:rPr>
                <w:rFonts w:ascii="PT Astra Serif" w:hAnsi="PT Astra Serif"/>
              </w:rPr>
              <w:t xml:space="preserve"> </w:t>
            </w:r>
            <w:r w:rsidR="00071BDB" w:rsidRPr="00DF4DA8">
              <w:rPr>
                <w:rFonts w:ascii="PT Astra Serif" w:hAnsi="PT Astra Serif"/>
              </w:rPr>
              <w:t xml:space="preserve">в соответствии с частью 3 статьи 46 Федерального закона </w:t>
            </w:r>
          </w:p>
          <w:p w:rsidR="00071BDB" w:rsidRPr="00DF4DA8" w:rsidRDefault="000D476F" w:rsidP="00212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31 июля 2021 года</w:t>
            </w:r>
            <w:r w:rsidR="00071BDB" w:rsidRPr="00DF4DA8">
              <w:rPr>
                <w:rFonts w:ascii="PT Astra Serif" w:hAnsi="PT Astra Serif"/>
              </w:rPr>
              <w:t xml:space="preserve"> № 248-ФЗ </w:t>
            </w:r>
            <w:r w:rsidR="00E9492A" w:rsidRPr="00DF4DA8">
              <w:rPr>
                <w:rFonts w:ascii="PT Astra Serif" w:hAnsi="PT Astra Serif"/>
              </w:rPr>
              <w:t xml:space="preserve"> </w:t>
            </w:r>
            <w:r w:rsidR="00071BDB" w:rsidRPr="00DF4DA8">
              <w:rPr>
                <w:rFonts w:ascii="PT Astra Serif" w:hAnsi="PT Astra Serif"/>
              </w:rPr>
              <w:t>«О госуда</w:t>
            </w:r>
            <w:r w:rsidR="00DF4DA8" w:rsidRPr="00DF4DA8">
              <w:rPr>
                <w:rFonts w:ascii="PT Astra Serif" w:hAnsi="PT Astra Serif"/>
              </w:rPr>
              <w:t xml:space="preserve">рственном контроле (надзоре) </w:t>
            </w:r>
            <w:r w:rsidR="00071BDB" w:rsidRPr="00DF4DA8">
              <w:rPr>
                <w:rFonts w:ascii="PT Astra Serif" w:hAnsi="PT Astra Serif"/>
              </w:rPr>
              <w:t>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100</w:t>
            </w:r>
            <w:r w:rsidR="00A603B3" w:rsidRPr="00DF4DA8">
              <w:rPr>
                <w:rFonts w:ascii="PT Astra Serif" w:hAnsi="PT Astra Serif"/>
              </w:rPr>
              <w:t xml:space="preserve"> </w:t>
            </w:r>
            <w:r w:rsidRPr="00DF4DA8">
              <w:rPr>
                <w:rFonts w:ascii="PT Astra Serif" w:hAnsi="PT Astra Serif"/>
              </w:rPr>
              <w:t>%</w:t>
            </w:r>
          </w:p>
        </w:tc>
      </w:tr>
      <w:tr w:rsidR="00071BDB" w:rsidRPr="00DF4DA8" w:rsidTr="00212B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 xml:space="preserve">Удовлетворенность контролируемых лиц </w:t>
            </w:r>
            <w:r w:rsidR="00AB607C" w:rsidRPr="00DF4DA8">
              <w:rPr>
                <w:rFonts w:ascii="PT Astra Serif" w:hAnsi="PT Astra Serif"/>
              </w:rPr>
              <w:t xml:space="preserve">                                       </w:t>
            </w:r>
            <w:r w:rsidRPr="00DF4DA8">
              <w:rPr>
                <w:rFonts w:ascii="PT Astra Serif" w:hAnsi="PT Astra Serif"/>
              </w:rPr>
              <w:t>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100</w:t>
            </w:r>
            <w:r w:rsidR="00A603B3" w:rsidRPr="00DF4DA8">
              <w:rPr>
                <w:rFonts w:ascii="PT Astra Serif" w:hAnsi="PT Astra Serif"/>
              </w:rPr>
              <w:t xml:space="preserve"> </w:t>
            </w:r>
            <w:r w:rsidRPr="00DF4DA8">
              <w:rPr>
                <w:rFonts w:ascii="PT Astra Serif" w:hAnsi="PT Astra Serif"/>
              </w:rPr>
              <w:t>% от числа обратившихся</w:t>
            </w:r>
          </w:p>
        </w:tc>
      </w:tr>
      <w:tr w:rsidR="00071BDB" w:rsidRPr="00DF4DA8" w:rsidTr="00212B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DF4DA8" w:rsidRDefault="00071BDB" w:rsidP="00212B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F4DA8">
              <w:rPr>
                <w:rFonts w:ascii="PT Astra Serif" w:hAnsi="PT Astra Serif"/>
              </w:rPr>
              <w:t>не менее 1 мероприяти</w:t>
            </w:r>
            <w:r w:rsidR="00D30DF7" w:rsidRPr="00DF4DA8">
              <w:rPr>
                <w:rFonts w:ascii="PT Astra Serif" w:hAnsi="PT Astra Serif"/>
              </w:rPr>
              <w:t>я</w:t>
            </w:r>
            <w:r w:rsidRPr="00DF4DA8">
              <w:rPr>
                <w:rFonts w:ascii="PT Astra Serif" w:hAnsi="PT Astra Serif"/>
              </w:rPr>
              <w:t>, проведенн</w:t>
            </w:r>
            <w:r w:rsidR="00D30DF7" w:rsidRPr="00DF4DA8">
              <w:rPr>
                <w:rFonts w:ascii="PT Astra Serif" w:hAnsi="PT Astra Serif"/>
              </w:rPr>
              <w:t>ого</w:t>
            </w:r>
            <w:r w:rsidRPr="00DF4DA8">
              <w:rPr>
                <w:rFonts w:ascii="PT Astra Serif" w:hAnsi="PT Astra Serif"/>
              </w:rPr>
              <w:t xml:space="preserve"> </w:t>
            </w:r>
            <w:r w:rsidR="009A25B2" w:rsidRPr="00DF4DA8">
              <w:rPr>
                <w:rFonts w:ascii="PT Astra Serif" w:hAnsi="PT Astra Serif"/>
              </w:rPr>
              <w:t>органом муниципального земельного контроля</w:t>
            </w:r>
          </w:p>
        </w:tc>
      </w:tr>
    </w:tbl>
    <w:p w:rsidR="00071BDB" w:rsidRPr="00DF4DA8" w:rsidRDefault="00071BDB" w:rsidP="00212B37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071BDB" w:rsidRPr="00DF4DA8" w:rsidSect="00DF4DA8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DB" w:rsidRDefault="000317DB">
      <w:r>
        <w:separator/>
      </w:r>
    </w:p>
  </w:endnote>
  <w:endnote w:type="continuationSeparator" w:id="0">
    <w:p w:rsidR="000317DB" w:rsidRDefault="000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DB" w:rsidRDefault="000317DB">
      <w:r>
        <w:separator/>
      </w:r>
    </w:p>
  </w:footnote>
  <w:footnote w:type="continuationSeparator" w:id="0">
    <w:p w:rsidR="000317DB" w:rsidRDefault="0003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8D" w:rsidRDefault="00780052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82AB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906B2A"/>
    <w:multiLevelType w:val="hybridMultilevel"/>
    <w:tmpl w:val="F8044E32"/>
    <w:lvl w:ilvl="0" w:tplc="74DC9F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05B8"/>
    <w:multiLevelType w:val="hybridMultilevel"/>
    <w:tmpl w:val="07F459D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103791"/>
    <w:multiLevelType w:val="hybridMultilevel"/>
    <w:tmpl w:val="08BEDFFA"/>
    <w:lvl w:ilvl="0" w:tplc="7A58EFAC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23458"/>
    <w:multiLevelType w:val="hybridMultilevel"/>
    <w:tmpl w:val="CCF0C9A0"/>
    <w:lvl w:ilvl="0" w:tplc="7A58E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8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4"/>
  </w:num>
  <w:num w:numId="16">
    <w:abstractNumId w:val="6"/>
  </w:num>
  <w:num w:numId="17">
    <w:abstractNumId w:val="5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8D"/>
    <w:rsid w:val="0001119F"/>
    <w:rsid w:val="000125BB"/>
    <w:rsid w:val="00014F50"/>
    <w:rsid w:val="000317DB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B768E"/>
    <w:rsid w:val="000D476F"/>
    <w:rsid w:val="000E0615"/>
    <w:rsid w:val="000E66CC"/>
    <w:rsid w:val="000F3514"/>
    <w:rsid w:val="000F5142"/>
    <w:rsid w:val="000F6266"/>
    <w:rsid w:val="00114166"/>
    <w:rsid w:val="00116B1A"/>
    <w:rsid w:val="00123AA3"/>
    <w:rsid w:val="00132A95"/>
    <w:rsid w:val="001352C9"/>
    <w:rsid w:val="00147149"/>
    <w:rsid w:val="00147228"/>
    <w:rsid w:val="00190178"/>
    <w:rsid w:val="00193D2E"/>
    <w:rsid w:val="00195ECF"/>
    <w:rsid w:val="001960B3"/>
    <w:rsid w:val="00196837"/>
    <w:rsid w:val="001A1A03"/>
    <w:rsid w:val="001A7172"/>
    <w:rsid w:val="001B507A"/>
    <w:rsid w:val="001C32D4"/>
    <w:rsid w:val="001D61EC"/>
    <w:rsid w:val="001F1147"/>
    <w:rsid w:val="001F1C47"/>
    <w:rsid w:val="001F7E11"/>
    <w:rsid w:val="00212B37"/>
    <w:rsid w:val="002262A8"/>
    <w:rsid w:val="00235B41"/>
    <w:rsid w:val="00241CE0"/>
    <w:rsid w:val="00244D2E"/>
    <w:rsid w:val="00246B4F"/>
    <w:rsid w:val="002553B8"/>
    <w:rsid w:val="00263756"/>
    <w:rsid w:val="00265DB4"/>
    <w:rsid w:val="00267FE7"/>
    <w:rsid w:val="00285FD0"/>
    <w:rsid w:val="002A212C"/>
    <w:rsid w:val="002A3189"/>
    <w:rsid w:val="002C6F87"/>
    <w:rsid w:val="002F0EF5"/>
    <w:rsid w:val="002F47F3"/>
    <w:rsid w:val="002F544A"/>
    <w:rsid w:val="00302AAE"/>
    <w:rsid w:val="00304732"/>
    <w:rsid w:val="00313434"/>
    <w:rsid w:val="003141D1"/>
    <w:rsid w:val="00320D1D"/>
    <w:rsid w:val="00333F63"/>
    <w:rsid w:val="00343B39"/>
    <w:rsid w:val="00350B2F"/>
    <w:rsid w:val="003513B1"/>
    <w:rsid w:val="003742D3"/>
    <w:rsid w:val="00392C7E"/>
    <w:rsid w:val="00394438"/>
    <w:rsid w:val="003B3C13"/>
    <w:rsid w:val="003B4FD5"/>
    <w:rsid w:val="003C23FB"/>
    <w:rsid w:val="003D598C"/>
    <w:rsid w:val="003D59AD"/>
    <w:rsid w:val="003D7EE0"/>
    <w:rsid w:val="003E2255"/>
    <w:rsid w:val="0040509A"/>
    <w:rsid w:val="0040629F"/>
    <w:rsid w:val="00420C38"/>
    <w:rsid w:val="004274A0"/>
    <w:rsid w:val="00436518"/>
    <w:rsid w:val="0044240D"/>
    <w:rsid w:val="00442DCC"/>
    <w:rsid w:val="0045318E"/>
    <w:rsid w:val="00455DCA"/>
    <w:rsid w:val="00482A0A"/>
    <w:rsid w:val="0049261E"/>
    <w:rsid w:val="004B408D"/>
    <w:rsid w:val="004C3D54"/>
    <w:rsid w:val="004C722E"/>
    <w:rsid w:val="004D241E"/>
    <w:rsid w:val="004E0B0A"/>
    <w:rsid w:val="004F52CE"/>
    <w:rsid w:val="005116BE"/>
    <w:rsid w:val="00517A22"/>
    <w:rsid w:val="005226A6"/>
    <w:rsid w:val="00522FD2"/>
    <w:rsid w:val="00523BF9"/>
    <w:rsid w:val="0052532F"/>
    <w:rsid w:val="00532345"/>
    <w:rsid w:val="0053591A"/>
    <w:rsid w:val="005400D8"/>
    <w:rsid w:val="00546C09"/>
    <w:rsid w:val="0056789E"/>
    <w:rsid w:val="0057285B"/>
    <w:rsid w:val="00581FC4"/>
    <w:rsid w:val="005835D3"/>
    <w:rsid w:val="00584DBE"/>
    <w:rsid w:val="00585961"/>
    <w:rsid w:val="00593932"/>
    <w:rsid w:val="005E1C26"/>
    <w:rsid w:val="005E7B51"/>
    <w:rsid w:val="006019DA"/>
    <w:rsid w:val="00620740"/>
    <w:rsid w:val="0062547A"/>
    <w:rsid w:val="00641112"/>
    <w:rsid w:val="00644273"/>
    <w:rsid w:val="00667BD1"/>
    <w:rsid w:val="00676466"/>
    <w:rsid w:val="00682ABF"/>
    <w:rsid w:val="0068393C"/>
    <w:rsid w:val="006874D0"/>
    <w:rsid w:val="006A7876"/>
    <w:rsid w:val="006C36A0"/>
    <w:rsid w:val="006C633D"/>
    <w:rsid w:val="006D0248"/>
    <w:rsid w:val="006D122F"/>
    <w:rsid w:val="006D5FD4"/>
    <w:rsid w:val="006E38FC"/>
    <w:rsid w:val="006E6732"/>
    <w:rsid w:val="006F1261"/>
    <w:rsid w:val="006F1D30"/>
    <w:rsid w:val="006F210D"/>
    <w:rsid w:val="006F52EC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A1C71"/>
    <w:rsid w:val="007A6735"/>
    <w:rsid w:val="007B5C64"/>
    <w:rsid w:val="007B6559"/>
    <w:rsid w:val="007B71FD"/>
    <w:rsid w:val="007D2853"/>
    <w:rsid w:val="007D5C88"/>
    <w:rsid w:val="007E2990"/>
    <w:rsid w:val="007E29DF"/>
    <w:rsid w:val="007E6329"/>
    <w:rsid w:val="007F2288"/>
    <w:rsid w:val="00810329"/>
    <w:rsid w:val="00810371"/>
    <w:rsid w:val="00812482"/>
    <w:rsid w:val="00816DAA"/>
    <w:rsid w:val="00817B91"/>
    <w:rsid w:val="008242BD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A6CC9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71112"/>
    <w:rsid w:val="0097241A"/>
    <w:rsid w:val="009762E5"/>
    <w:rsid w:val="0098466B"/>
    <w:rsid w:val="009A2462"/>
    <w:rsid w:val="009A25B2"/>
    <w:rsid w:val="009A50B1"/>
    <w:rsid w:val="009A725E"/>
    <w:rsid w:val="009B3A6C"/>
    <w:rsid w:val="009B641F"/>
    <w:rsid w:val="009C4759"/>
    <w:rsid w:val="009C5379"/>
    <w:rsid w:val="009C5417"/>
    <w:rsid w:val="009C79DD"/>
    <w:rsid w:val="009E0C8D"/>
    <w:rsid w:val="009E360C"/>
    <w:rsid w:val="009E73EF"/>
    <w:rsid w:val="00A07204"/>
    <w:rsid w:val="00A16FB6"/>
    <w:rsid w:val="00A17395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27A5"/>
    <w:rsid w:val="00AA6BD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7E3D"/>
    <w:rsid w:val="00B17F27"/>
    <w:rsid w:val="00B25892"/>
    <w:rsid w:val="00B31557"/>
    <w:rsid w:val="00B51AAB"/>
    <w:rsid w:val="00B6245B"/>
    <w:rsid w:val="00B624C1"/>
    <w:rsid w:val="00B735DE"/>
    <w:rsid w:val="00B81EFE"/>
    <w:rsid w:val="00B848D8"/>
    <w:rsid w:val="00B874E6"/>
    <w:rsid w:val="00B95013"/>
    <w:rsid w:val="00BA3230"/>
    <w:rsid w:val="00BB7832"/>
    <w:rsid w:val="00BC3BA1"/>
    <w:rsid w:val="00BC4E67"/>
    <w:rsid w:val="00BD171C"/>
    <w:rsid w:val="00BF1C9D"/>
    <w:rsid w:val="00BF393D"/>
    <w:rsid w:val="00C02860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50E2"/>
    <w:rsid w:val="00C93424"/>
    <w:rsid w:val="00C97F78"/>
    <w:rsid w:val="00CB2DD7"/>
    <w:rsid w:val="00CB2FD7"/>
    <w:rsid w:val="00CB3ED0"/>
    <w:rsid w:val="00CB4EAB"/>
    <w:rsid w:val="00CB568E"/>
    <w:rsid w:val="00CC6B84"/>
    <w:rsid w:val="00CC712D"/>
    <w:rsid w:val="00CD0D48"/>
    <w:rsid w:val="00CE0A8E"/>
    <w:rsid w:val="00CE1F9F"/>
    <w:rsid w:val="00CF6096"/>
    <w:rsid w:val="00D116A9"/>
    <w:rsid w:val="00D30DF7"/>
    <w:rsid w:val="00D368D8"/>
    <w:rsid w:val="00D43947"/>
    <w:rsid w:val="00D44CBE"/>
    <w:rsid w:val="00D45B84"/>
    <w:rsid w:val="00D519F6"/>
    <w:rsid w:val="00D57636"/>
    <w:rsid w:val="00D65B82"/>
    <w:rsid w:val="00D668FF"/>
    <w:rsid w:val="00D714E3"/>
    <w:rsid w:val="00D75BA1"/>
    <w:rsid w:val="00D80454"/>
    <w:rsid w:val="00D91058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DF4DA8"/>
    <w:rsid w:val="00E03DAB"/>
    <w:rsid w:val="00E118A6"/>
    <w:rsid w:val="00E13360"/>
    <w:rsid w:val="00E22695"/>
    <w:rsid w:val="00E341E5"/>
    <w:rsid w:val="00E51FC6"/>
    <w:rsid w:val="00E5239E"/>
    <w:rsid w:val="00E64393"/>
    <w:rsid w:val="00E65878"/>
    <w:rsid w:val="00E66886"/>
    <w:rsid w:val="00E67B15"/>
    <w:rsid w:val="00E70A5C"/>
    <w:rsid w:val="00E8725B"/>
    <w:rsid w:val="00E936B6"/>
    <w:rsid w:val="00E9492A"/>
    <w:rsid w:val="00EB47D4"/>
    <w:rsid w:val="00EB4EAB"/>
    <w:rsid w:val="00ED0FCB"/>
    <w:rsid w:val="00EE2A1B"/>
    <w:rsid w:val="00EF791D"/>
    <w:rsid w:val="00F03F81"/>
    <w:rsid w:val="00F05A6E"/>
    <w:rsid w:val="00F118C4"/>
    <w:rsid w:val="00F12BF5"/>
    <w:rsid w:val="00F2245F"/>
    <w:rsid w:val="00F37B72"/>
    <w:rsid w:val="00F53157"/>
    <w:rsid w:val="00F60919"/>
    <w:rsid w:val="00F65734"/>
    <w:rsid w:val="00F663B3"/>
    <w:rsid w:val="00F842ED"/>
    <w:rsid w:val="00FA3FCC"/>
    <w:rsid w:val="00FA4141"/>
    <w:rsid w:val="00FA4D12"/>
    <w:rsid w:val="00FB3344"/>
    <w:rsid w:val="00FB7A85"/>
    <w:rsid w:val="00FC25EC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DFC23-7332-4929-9836-202BC19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6B73-A91A-4F82-89E9-842EC1D3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Фадеева Алена Михайловна</cp:lastModifiedBy>
  <cp:revision>68</cp:revision>
  <cp:lastPrinted>2021-11-30T09:17:00Z</cp:lastPrinted>
  <dcterms:created xsi:type="dcterms:W3CDTF">2021-09-17T07:15:00Z</dcterms:created>
  <dcterms:modified xsi:type="dcterms:W3CDTF">2021-11-30T09:18:00Z</dcterms:modified>
</cp:coreProperties>
</file>