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b w:val="0"/>
          <w:sz w:val="16"/>
        </w:rPr>
      </w:pPr>
    </w:p>
    <w:p>
      <w:pPr>
        <w:pStyle w:val="BodyText"/>
        <w:rPr>
          <w:b w:val="0"/>
          <w:sz w:val="16"/>
        </w:rPr>
      </w:pPr>
    </w:p>
    <w:p>
      <w:pPr>
        <w:pStyle w:val="BodyText"/>
        <w:rPr>
          <w:b w:val="0"/>
          <w:sz w:val="16"/>
        </w:rPr>
      </w:pPr>
    </w:p>
    <w:p>
      <w:pPr>
        <w:pStyle w:val="BodyText"/>
        <w:rPr>
          <w:b w:val="0"/>
          <w:sz w:val="16"/>
        </w:rPr>
      </w:pPr>
    </w:p>
    <w:p>
      <w:pPr>
        <w:pStyle w:val="BodyText"/>
        <w:rPr>
          <w:b w:val="0"/>
          <w:sz w:val="16"/>
        </w:rPr>
      </w:pPr>
    </w:p>
    <w:p>
      <w:pPr>
        <w:pStyle w:val="BodyText"/>
        <w:spacing w:before="3"/>
        <w:rPr>
          <w:b w:val="0"/>
          <w:sz w:val="23"/>
        </w:rPr>
      </w:pPr>
    </w:p>
    <w:p>
      <w:pPr>
        <w:pStyle w:val="BodyText"/>
        <w:ind w:left="3531"/>
      </w:pPr>
      <w:r>
        <w:rPr/>
        <w:t>Программа муниципальных гарантий муниципального образования в валюте Российской Федерации на 2020 год</w:t>
      </w:r>
    </w:p>
    <w:p>
      <w:pPr>
        <w:pStyle w:val="ListParagraph"/>
        <w:numPr>
          <w:ilvl w:val="1"/>
          <w:numId w:val="1"/>
        </w:numPr>
        <w:tabs>
          <w:tab w:pos="4221" w:val="left" w:leader="none"/>
        </w:tabs>
        <w:spacing w:line="240" w:lineRule="auto" w:before="94" w:after="0"/>
        <w:ind w:left="4220" w:right="0" w:hanging="270"/>
        <w:jc w:val="left"/>
        <w:rPr>
          <w:b/>
          <w:sz w:val="15"/>
        </w:rPr>
      </w:pPr>
      <w:r>
        <w:rPr>
          <w:b/>
          <w:sz w:val="15"/>
        </w:rPr>
        <w:t>Перечень муниципальных гарантий муниципального образования, предоставляемых в 2020</w:t>
      </w:r>
      <w:r>
        <w:rPr>
          <w:b/>
          <w:spacing w:val="22"/>
          <w:sz w:val="15"/>
        </w:rPr>
        <w:t> </w:t>
      </w:r>
      <w:r>
        <w:rPr>
          <w:b/>
          <w:sz w:val="15"/>
        </w:rPr>
        <w:t>году</w:t>
      </w:r>
    </w:p>
    <w:p>
      <w:pPr>
        <w:pStyle w:val="BodyText"/>
        <w:spacing w:before="7"/>
        <w:rPr>
          <w:sz w:val="14"/>
        </w:rPr>
      </w:pPr>
      <w:r>
        <w:rPr>
          <w:b w:val="0"/>
        </w:rPr>
        <w:br w:type="column"/>
      </w:r>
      <w:r>
        <w:rPr>
          <w:sz w:val="14"/>
        </w:rPr>
      </w:r>
    </w:p>
    <w:p>
      <w:pPr>
        <w:spacing w:line="230" w:lineRule="auto" w:before="0"/>
        <w:ind w:left="1282" w:right="871" w:firstLine="0"/>
        <w:jc w:val="left"/>
        <w:rPr>
          <w:sz w:val="12"/>
        </w:rPr>
      </w:pPr>
      <w:r>
        <w:rPr>
          <w:sz w:val="12"/>
        </w:rPr>
        <w:t>Приложение 7 Утверждена</w:t>
      </w:r>
    </w:p>
    <w:p>
      <w:pPr>
        <w:spacing w:line="230" w:lineRule="auto" w:before="0"/>
        <w:ind w:left="1282" w:right="360" w:firstLine="0"/>
        <w:jc w:val="left"/>
        <w:rPr>
          <w:sz w:val="12"/>
        </w:rPr>
      </w:pPr>
      <w:r>
        <w:rPr>
          <w:sz w:val="12"/>
        </w:rPr>
        <w:t>решением Думы Тазовского района от 28.10.2020 года № 4-2-30</w:t>
      </w:r>
    </w:p>
    <w:p>
      <w:pPr>
        <w:spacing w:line="130" w:lineRule="exact" w:before="0"/>
        <w:ind w:left="1282" w:right="0" w:firstLine="0"/>
        <w:jc w:val="left"/>
        <w:rPr>
          <w:sz w:val="12"/>
        </w:rPr>
      </w:pPr>
      <w:r>
        <w:rPr>
          <w:sz w:val="12"/>
        </w:rPr>
        <w:t>Приложение 12</w:t>
      </w:r>
    </w:p>
    <w:p>
      <w:pPr>
        <w:spacing w:line="230" w:lineRule="auto" w:before="1"/>
        <w:ind w:left="1282" w:right="678" w:firstLine="0"/>
        <w:jc w:val="left"/>
        <w:rPr>
          <w:sz w:val="12"/>
        </w:rPr>
      </w:pPr>
      <w:r>
        <w:rPr>
          <w:sz w:val="12"/>
        </w:rPr>
        <w:t>к решению Районной Думы от 04.12.2019 года №</w:t>
      </w:r>
      <w:r>
        <w:rPr>
          <w:spacing w:val="-3"/>
          <w:sz w:val="12"/>
        </w:rPr>
        <w:t> </w:t>
      </w:r>
      <w:r>
        <w:rPr>
          <w:sz w:val="12"/>
        </w:rPr>
        <w:t>12-1-65</w:t>
      </w:r>
    </w:p>
    <w:p>
      <w:pPr>
        <w:pStyle w:val="BodyText"/>
        <w:rPr>
          <w:b w:val="0"/>
          <w:sz w:val="12"/>
        </w:rPr>
      </w:pPr>
    </w:p>
    <w:p>
      <w:pPr>
        <w:pStyle w:val="BodyText"/>
        <w:rPr>
          <w:b w:val="0"/>
          <w:sz w:val="12"/>
        </w:rPr>
      </w:pPr>
    </w:p>
    <w:p>
      <w:pPr>
        <w:pStyle w:val="BodyText"/>
        <w:rPr>
          <w:b w:val="0"/>
          <w:sz w:val="12"/>
        </w:rPr>
      </w:pPr>
    </w:p>
    <w:p>
      <w:pPr>
        <w:pStyle w:val="BodyText"/>
        <w:rPr>
          <w:b w:val="0"/>
          <w:sz w:val="17"/>
        </w:rPr>
      </w:pPr>
    </w:p>
    <w:p>
      <w:pPr>
        <w:spacing w:before="0"/>
        <w:ind w:left="0" w:right="142" w:firstLine="0"/>
        <w:jc w:val="right"/>
        <w:rPr>
          <w:sz w:val="15"/>
        </w:rPr>
      </w:pPr>
      <w:r>
        <w:rPr>
          <w:sz w:val="15"/>
        </w:rPr>
        <w:t>тыс. рублей</w:t>
      </w:r>
    </w:p>
    <w:p>
      <w:pPr>
        <w:spacing w:after="0"/>
        <w:jc w:val="right"/>
        <w:rPr>
          <w:sz w:val="15"/>
        </w:rPr>
        <w:sectPr>
          <w:type w:val="continuous"/>
          <w:pgSz w:w="16840" w:h="11910" w:orient="landscape"/>
          <w:pgMar w:top="1100" w:bottom="280" w:left="880" w:right="900"/>
          <w:cols w:num="2" w:equalWidth="0">
            <w:col w:w="11526" w:space="40"/>
            <w:col w:w="3494"/>
          </w:cols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1752"/>
        <w:gridCol w:w="1371"/>
        <w:gridCol w:w="1042"/>
        <w:gridCol w:w="5543"/>
      </w:tblGrid>
      <w:tr>
        <w:trPr>
          <w:trHeight w:val="1605" w:hRule="atLeast"/>
        </w:trPr>
        <w:tc>
          <w:tcPr>
            <w:tcW w:w="511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ind w:left="1785" w:right="17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Цели гарантирования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448" w:hanging="87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принципала</w:t>
            </w:r>
          </w:p>
        </w:tc>
        <w:tc>
          <w:tcPr>
            <w:tcW w:w="137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66" w:lineRule="auto" w:before="1"/>
              <w:ind w:left="66" w:right="54" w:firstLine="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Общий объем предоставляемых муниципальных гарантий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66" w:lineRule="auto" w:before="1"/>
              <w:ind w:left="109" w:right="97" w:firstLine="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Наличие права регрессного требования</w:t>
            </w:r>
          </w:p>
        </w:tc>
        <w:tc>
          <w:tcPr>
            <w:tcW w:w="5543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1722" w:hanging="1464"/>
              <w:rPr>
                <w:b/>
                <w:sz w:val="15"/>
              </w:rPr>
            </w:pPr>
            <w:r>
              <w:rPr>
                <w:b/>
                <w:sz w:val="15"/>
              </w:rPr>
              <w:t>Иные условия предоставления и исполнения муниципальных гарантий муниципального образования</w:t>
            </w:r>
          </w:p>
        </w:tc>
      </w:tr>
      <w:tr>
        <w:trPr>
          <w:trHeight w:val="189" w:hRule="atLeast"/>
        </w:trPr>
        <w:tc>
          <w:tcPr>
            <w:tcW w:w="5118" w:type="dxa"/>
          </w:tcPr>
          <w:p>
            <w:pPr>
              <w:pStyle w:val="TableParagraph"/>
              <w:spacing w:line="169" w:lineRule="exact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1752" w:type="dxa"/>
          </w:tcPr>
          <w:p>
            <w:pPr>
              <w:pStyle w:val="TableParagraph"/>
              <w:spacing w:line="169" w:lineRule="exact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371" w:type="dxa"/>
          </w:tcPr>
          <w:p>
            <w:pPr>
              <w:pStyle w:val="TableParagraph"/>
              <w:spacing w:line="169" w:lineRule="exact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  <w:tc>
          <w:tcPr>
            <w:tcW w:w="1042" w:type="dxa"/>
          </w:tcPr>
          <w:p>
            <w:pPr>
              <w:pStyle w:val="TableParagraph"/>
              <w:spacing w:line="169" w:lineRule="exact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4</w:t>
            </w:r>
          </w:p>
        </w:tc>
        <w:tc>
          <w:tcPr>
            <w:tcW w:w="5543" w:type="dxa"/>
          </w:tcPr>
          <w:p>
            <w:pPr>
              <w:pStyle w:val="TableParagraph"/>
              <w:spacing w:line="169" w:lineRule="exact"/>
              <w:ind w:left="10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5</w:t>
            </w:r>
          </w:p>
        </w:tc>
      </w:tr>
      <w:tr>
        <w:trPr>
          <w:trHeight w:val="333" w:hRule="atLeast"/>
        </w:trPr>
        <w:tc>
          <w:tcPr>
            <w:tcW w:w="511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43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118" w:type="dxa"/>
          </w:tcPr>
          <w:p>
            <w:pPr>
              <w:pStyle w:val="TableParagraph"/>
              <w:spacing w:before="104"/>
              <w:ind w:left="1785" w:right="17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ИТОГО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spacing w:before="107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0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43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spacing w:before="6"/>
        <w:rPr>
          <w:b w:val="0"/>
          <w:sz w:val="9"/>
        </w:rPr>
      </w:pPr>
    </w:p>
    <w:p>
      <w:pPr>
        <w:pStyle w:val="ListParagraph"/>
        <w:numPr>
          <w:ilvl w:val="1"/>
          <w:numId w:val="1"/>
        </w:numPr>
        <w:tabs>
          <w:tab w:pos="1290" w:val="left" w:leader="none"/>
        </w:tabs>
        <w:spacing w:line="240" w:lineRule="auto" w:before="97" w:after="0"/>
        <w:ind w:left="1289" w:right="0" w:hanging="270"/>
        <w:jc w:val="left"/>
        <w:rPr>
          <w:b/>
          <w:sz w:val="15"/>
        </w:rPr>
      </w:pPr>
      <w:r>
        <w:rPr>
          <w:b/>
          <w:sz w:val="15"/>
        </w:rPr>
        <w:t>Общий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объем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бюджетных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ассигнований,</w:t>
      </w:r>
      <w:r>
        <w:rPr>
          <w:b/>
          <w:spacing w:val="4"/>
          <w:sz w:val="15"/>
        </w:rPr>
        <w:t> </w:t>
      </w:r>
      <w:r>
        <w:rPr>
          <w:b/>
          <w:sz w:val="15"/>
        </w:rPr>
        <w:t>предусмотренных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на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исполнение</w:t>
      </w:r>
      <w:r>
        <w:rPr>
          <w:b/>
          <w:spacing w:val="3"/>
          <w:sz w:val="15"/>
        </w:rPr>
        <w:t> </w:t>
      </w:r>
      <w:r>
        <w:rPr>
          <w:b/>
          <w:sz w:val="15"/>
        </w:rPr>
        <w:t>муниципальных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гарантий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муниципального</w:t>
      </w:r>
      <w:r>
        <w:rPr>
          <w:b/>
          <w:spacing w:val="4"/>
          <w:sz w:val="15"/>
        </w:rPr>
        <w:t> </w:t>
      </w:r>
      <w:r>
        <w:rPr>
          <w:b/>
          <w:sz w:val="15"/>
        </w:rPr>
        <w:t>образования</w:t>
      </w:r>
      <w:r>
        <w:rPr>
          <w:b/>
          <w:spacing w:val="12"/>
          <w:sz w:val="15"/>
        </w:rPr>
        <w:t> </w:t>
      </w:r>
      <w:r>
        <w:rPr>
          <w:b/>
          <w:sz w:val="15"/>
        </w:rPr>
        <w:t>по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возможным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гарантийным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случаям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в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2020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году</w:t>
      </w:r>
    </w:p>
    <w:p>
      <w:pPr>
        <w:pStyle w:val="BodyText"/>
        <w:spacing w:before="1"/>
        <w:rPr>
          <w:sz w:val="11"/>
        </w:rPr>
      </w:pPr>
    </w:p>
    <w:p>
      <w:pPr>
        <w:spacing w:before="97" w:after="9"/>
        <w:ind w:left="0" w:right="142" w:firstLine="0"/>
        <w:jc w:val="right"/>
        <w:rPr>
          <w:sz w:val="15"/>
        </w:rPr>
      </w:pPr>
      <w:r>
        <w:rPr>
          <w:sz w:val="15"/>
        </w:rPr>
        <w:t>тыс. рублей</w:t>
      </w: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1"/>
        <w:gridCol w:w="6585"/>
      </w:tblGrid>
      <w:tr>
        <w:trPr>
          <w:trHeight w:val="661" w:hRule="atLeast"/>
        </w:trPr>
        <w:tc>
          <w:tcPr>
            <w:tcW w:w="8241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1746" w:right="173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Исполнение муниципальной гарантии муниципального образования</w:t>
            </w:r>
          </w:p>
        </w:tc>
        <w:tc>
          <w:tcPr>
            <w:tcW w:w="6585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1506" w:hanging="1445"/>
              <w:rPr>
                <w:b/>
                <w:sz w:val="15"/>
              </w:rPr>
            </w:pPr>
            <w:r>
              <w:rPr>
                <w:b/>
                <w:sz w:val="15"/>
              </w:rPr>
              <w:t>Объем бюджетных ассигнований на исполнение муниципальных гарантий муниципального образования по возможным гарантийным случаям</w:t>
            </w:r>
          </w:p>
        </w:tc>
      </w:tr>
      <w:tr>
        <w:trPr>
          <w:trHeight w:val="246" w:hRule="atLeast"/>
        </w:trPr>
        <w:tc>
          <w:tcPr>
            <w:tcW w:w="8241" w:type="dxa"/>
          </w:tcPr>
          <w:p>
            <w:pPr>
              <w:pStyle w:val="TableParagraph"/>
              <w:spacing w:before="32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585" w:type="dxa"/>
          </w:tcPr>
          <w:p>
            <w:pPr>
              <w:pStyle w:val="TableParagraph"/>
              <w:spacing w:before="32"/>
              <w:ind w:left="10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</w:tr>
      <w:tr>
        <w:trPr>
          <w:trHeight w:val="287" w:hRule="atLeast"/>
        </w:trPr>
        <w:tc>
          <w:tcPr>
            <w:tcW w:w="8241" w:type="dxa"/>
          </w:tcPr>
          <w:p>
            <w:pPr>
              <w:pStyle w:val="TableParagraph"/>
              <w:spacing w:before="51"/>
              <w:ind w:left="28"/>
              <w:rPr>
                <w:sz w:val="15"/>
              </w:rPr>
            </w:pPr>
            <w:r>
              <w:rPr>
                <w:sz w:val="15"/>
              </w:rPr>
              <w:t>за счет источников внутреннего финансирования дефицита бюджета района</w:t>
            </w:r>
          </w:p>
        </w:tc>
        <w:tc>
          <w:tcPr>
            <w:tcW w:w="6585" w:type="dxa"/>
          </w:tcPr>
          <w:p>
            <w:pPr>
              <w:pStyle w:val="TableParagraph"/>
              <w:spacing w:before="49"/>
              <w:ind w:left="2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0</w:t>
            </w:r>
          </w:p>
        </w:tc>
      </w:tr>
      <w:tr>
        <w:trPr>
          <w:trHeight w:val="364" w:hRule="atLeast"/>
        </w:trPr>
        <w:tc>
          <w:tcPr>
            <w:tcW w:w="8241" w:type="dxa"/>
          </w:tcPr>
          <w:p>
            <w:pPr>
              <w:pStyle w:val="TableParagraph"/>
              <w:spacing w:before="90"/>
              <w:ind w:left="28"/>
              <w:rPr>
                <w:sz w:val="15"/>
              </w:rPr>
            </w:pPr>
            <w:r>
              <w:rPr>
                <w:sz w:val="15"/>
              </w:rPr>
              <w:t>за счет расходов бюджета района</w:t>
            </w:r>
          </w:p>
        </w:tc>
        <w:tc>
          <w:tcPr>
            <w:tcW w:w="6585" w:type="dxa"/>
          </w:tcPr>
          <w:p>
            <w:pPr>
              <w:pStyle w:val="TableParagraph"/>
              <w:spacing w:before="90"/>
              <w:ind w:left="1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0</w:t>
            </w:r>
          </w:p>
        </w:tc>
      </w:tr>
    </w:tbl>
    <w:sectPr>
      <w:type w:val="continuous"/>
      <w:pgSz w:w="16840" w:h="11910" w:orient="landscape"/>
      <w:pgMar w:top="1100" w:bottom="280" w:left="8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4220" w:hanging="2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0" w:hanging="269"/>
        <w:jc w:val="right"/>
      </w:pPr>
      <w:rPr>
        <w:rFonts w:hint="default" w:ascii="Times New Roman" w:hAnsi="Times New Roman" w:eastAsia="Times New Roman" w:cs="Times New Roman"/>
        <w:b/>
        <w:bCs/>
        <w:w w:val="102"/>
        <w:sz w:val="15"/>
        <w:szCs w:val="15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81" w:hanging="2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411" w:hanging="2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142" w:hanging="2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72" w:hanging="2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03" w:hanging="2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33" w:hanging="2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64" w:hanging="26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94"/>
      <w:ind w:left="1289" w:hanging="27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dcterms:created xsi:type="dcterms:W3CDTF">2020-10-28T12:18:10Z</dcterms:created>
  <dcterms:modified xsi:type="dcterms:W3CDTF">2020-10-28T12:18:10Z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