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9" w:lineRule="auto" w:before="76"/>
        <w:ind w:left="6223" w:right="1107" w:firstLine="0"/>
        <w:jc w:val="left"/>
        <w:rPr>
          <w:sz w:val="18"/>
        </w:rPr>
      </w:pPr>
      <w:r>
        <w:rPr>
          <w:w w:val="105"/>
          <w:sz w:val="18"/>
        </w:rPr>
        <w:t>Приложение 4 Утвержден</w:t>
      </w:r>
    </w:p>
    <w:p>
      <w:pPr>
        <w:spacing w:line="252" w:lineRule="auto" w:before="0"/>
        <w:ind w:left="6223" w:right="829" w:firstLine="0"/>
        <w:jc w:val="left"/>
        <w:rPr>
          <w:sz w:val="18"/>
        </w:rPr>
      </w:pPr>
      <w:r>
        <w:rPr>
          <w:w w:val="105"/>
          <w:sz w:val="18"/>
        </w:rPr>
        <w:t>решением Районной Думы от 20.12.2019 № 13-2-70</w:t>
      </w:r>
    </w:p>
    <w:p>
      <w:pPr>
        <w:spacing w:line="203" w:lineRule="exact" w:before="0"/>
        <w:ind w:left="6223" w:right="0" w:firstLine="0"/>
        <w:jc w:val="left"/>
        <w:rPr>
          <w:sz w:val="18"/>
        </w:rPr>
      </w:pPr>
      <w:r>
        <w:rPr>
          <w:w w:val="105"/>
          <w:sz w:val="18"/>
        </w:rPr>
        <w:t>Приложение 5</w:t>
      </w:r>
    </w:p>
    <w:p>
      <w:pPr>
        <w:spacing w:before="5"/>
        <w:ind w:left="6223" w:right="0" w:firstLine="0"/>
        <w:jc w:val="left"/>
        <w:rPr>
          <w:sz w:val="18"/>
        </w:rPr>
      </w:pPr>
      <w:r>
        <w:rPr>
          <w:w w:val="105"/>
          <w:sz w:val="18"/>
        </w:rPr>
        <w:t>к решению Районной Думы</w:t>
      </w:r>
    </w:p>
    <w:p>
      <w:pPr>
        <w:spacing w:before="10"/>
        <w:ind w:left="6223" w:right="0" w:firstLine="0"/>
        <w:jc w:val="left"/>
        <w:rPr>
          <w:rFonts w:ascii="Calibri" w:hAnsi="Calibri"/>
          <w:sz w:val="18"/>
        </w:rPr>
      </w:pPr>
      <w:r>
        <w:rPr>
          <w:rFonts w:ascii="Calibri" w:hAnsi="Calibri"/>
          <w:w w:val="105"/>
          <w:sz w:val="18"/>
        </w:rPr>
        <w:t>от 05.12.2018 года № 17-2-77</w:t>
      </w:r>
    </w:p>
    <w:p>
      <w:pPr>
        <w:pStyle w:val="BodyText"/>
        <w:spacing w:before="4"/>
        <w:rPr>
          <w:rFonts w:ascii="Calibri"/>
          <w:b w:val="0"/>
          <w:sz w:val="25"/>
        </w:rPr>
      </w:pPr>
    </w:p>
    <w:p>
      <w:pPr>
        <w:pStyle w:val="BodyText"/>
        <w:spacing w:line="271" w:lineRule="auto" w:before="97"/>
        <w:ind w:left="377" w:right="309" w:firstLine="881"/>
      </w:pPr>
      <w:r>
        <w:rPr>
          <w:w w:val="105"/>
        </w:rPr>
        <w:t>Перечень главных администраторов доходов бюджета района - органов</w:t>
      </w:r>
      <w:r>
        <w:rPr>
          <w:spacing w:val="-23"/>
          <w:w w:val="105"/>
        </w:rPr>
        <w:t> </w:t>
      </w:r>
      <w:r>
        <w:rPr>
          <w:w w:val="105"/>
        </w:rPr>
        <w:t>государственной</w:t>
      </w:r>
      <w:r>
        <w:rPr>
          <w:spacing w:val="-21"/>
          <w:w w:val="105"/>
        </w:rPr>
        <w:t> </w:t>
      </w:r>
      <w:r>
        <w:rPr>
          <w:w w:val="105"/>
        </w:rPr>
        <w:t>власти</w:t>
      </w:r>
      <w:r>
        <w:rPr>
          <w:spacing w:val="-21"/>
          <w:w w:val="105"/>
        </w:rPr>
        <w:t> </w:t>
      </w:r>
      <w:r>
        <w:rPr>
          <w:w w:val="105"/>
        </w:rPr>
        <w:t>Ямало-Ненецкого</w:t>
      </w:r>
      <w:r>
        <w:rPr>
          <w:spacing w:val="-20"/>
          <w:w w:val="105"/>
        </w:rPr>
        <w:t> </w:t>
      </w:r>
      <w:r>
        <w:rPr>
          <w:w w:val="105"/>
        </w:rPr>
        <w:t>автономного</w:t>
      </w:r>
      <w:r>
        <w:rPr>
          <w:spacing w:val="-20"/>
          <w:w w:val="105"/>
        </w:rPr>
        <w:t> </w:t>
      </w:r>
      <w:r>
        <w:rPr>
          <w:w w:val="105"/>
        </w:rPr>
        <w:t>округа</w:t>
      </w:r>
      <w:r>
        <w:rPr>
          <w:spacing w:val="-21"/>
          <w:w w:val="105"/>
        </w:rPr>
        <w:t> </w:t>
      </w:r>
      <w:r>
        <w:rPr>
          <w:w w:val="105"/>
        </w:rPr>
        <w:t>и</w:t>
      </w:r>
      <w:r>
        <w:rPr>
          <w:spacing w:val="-20"/>
          <w:w w:val="105"/>
        </w:rPr>
        <w:t> </w:t>
      </w:r>
      <w:r>
        <w:rPr>
          <w:w w:val="105"/>
        </w:rPr>
        <w:t>иных</w:t>
      </w:r>
    </w:p>
    <w:p>
      <w:pPr>
        <w:pStyle w:val="BodyText"/>
        <w:spacing w:line="262" w:lineRule="exact"/>
        <w:ind w:left="1112"/>
      </w:pPr>
      <w:r>
        <w:rPr/>
        <w:drawing>
          <wp:anchor distT="0" distB="0" distL="0" distR="0" allowOverlap="1" layoutInCell="1" locked="0" behindDoc="0" simplePos="0" relativeHeight="251658240">
            <wp:simplePos x="0" y="0"/>
            <wp:positionH relativeFrom="page">
              <wp:posOffset>6000428</wp:posOffset>
            </wp:positionH>
            <wp:positionV relativeFrom="paragraph">
              <wp:posOffset>26801</wp:posOffset>
            </wp:positionV>
            <wp:extent cx="57150" cy="53975"/>
            <wp:effectExtent l="0" t="0" r="0" b="0"/>
            <wp:wrapNone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50" cy="53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105"/>
        </w:rPr>
        <w:t>государственных органов Ямало-Ненецкого автономного округа</w:t>
      </w:r>
    </w:p>
    <w:p>
      <w:pPr>
        <w:spacing w:line="240" w:lineRule="auto" w:before="7" w:after="1"/>
        <w:rPr>
          <w:b/>
          <w:sz w:val="24"/>
        </w:rPr>
      </w:pPr>
    </w:p>
    <w:tbl>
      <w:tblPr>
        <w:tblW w:w="0" w:type="auto"/>
        <w:jc w:val="left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12"/>
        <w:gridCol w:w="7109"/>
      </w:tblGrid>
      <w:tr>
        <w:trPr>
          <w:trHeight w:val="1129" w:hRule="atLeast"/>
        </w:trPr>
        <w:tc>
          <w:tcPr>
            <w:tcW w:w="2012" w:type="dxa"/>
          </w:tcPr>
          <w:p>
            <w:pPr>
              <w:pStyle w:val="TableParagraph"/>
              <w:rPr>
                <w:b/>
                <w:sz w:val="25"/>
              </w:rPr>
            </w:pPr>
          </w:p>
          <w:p>
            <w:pPr>
              <w:pStyle w:val="TableParagraph"/>
              <w:spacing w:line="271" w:lineRule="auto"/>
              <w:ind w:left="117" w:firstLine="165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Код главного </w:t>
            </w:r>
            <w:r>
              <w:rPr>
                <w:b/>
                <w:sz w:val="23"/>
              </w:rPr>
              <w:t>администратора</w:t>
            </w:r>
          </w:p>
        </w:tc>
        <w:tc>
          <w:tcPr>
            <w:tcW w:w="7109" w:type="dxa"/>
          </w:tcPr>
          <w:p>
            <w:pPr>
              <w:pStyle w:val="TableParagraph"/>
              <w:spacing w:before="11"/>
              <w:rPr>
                <w:b/>
                <w:sz w:val="37"/>
              </w:rPr>
            </w:pPr>
          </w:p>
          <w:p>
            <w:pPr>
              <w:pStyle w:val="TableParagraph"/>
              <w:ind w:left="368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Наименование главного администратора доходов бюджета</w:t>
            </w:r>
          </w:p>
        </w:tc>
      </w:tr>
      <w:tr>
        <w:trPr>
          <w:trHeight w:val="388" w:hRule="atLeast"/>
        </w:trPr>
        <w:tc>
          <w:tcPr>
            <w:tcW w:w="2012" w:type="dxa"/>
          </w:tcPr>
          <w:p>
            <w:pPr>
              <w:pStyle w:val="TableParagraph"/>
              <w:spacing w:before="64"/>
              <w:ind w:left="32"/>
              <w:jc w:val="center"/>
              <w:rPr>
                <w:b/>
                <w:sz w:val="23"/>
              </w:rPr>
            </w:pPr>
            <w:r>
              <w:rPr>
                <w:b/>
                <w:w w:val="103"/>
                <w:sz w:val="23"/>
              </w:rPr>
              <w:t>1</w:t>
            </w:r>
          </w:p>
        </w:tc>
        <w:tc>
          <w:tcPr>
            <w:tcW w:w="7109" w:type="dxa"/>
          </w:tcPr>
          <w:p>
            <w:pPr>
              <w:pStyle w:val="TableParagraph"/>
              <w:spacing w:before="64"/>
              <w:ind w:left="28"/>
              <w:jc w:val="center"/>
              <w:rPr>
                <w:b/>
                <w:sz w:val="23"/>
              </w:rPr>
            </w:pPr>
            <w:r>
              <w:rPr>
                <w:b/>
                <w:w w:val="103"/>
                <w:sz w:val="23"/>
              </w:rPr>
              <w:t>2</w:t>
            </w:r>
          </w:p>
        </w:tc>
      </w:tr>
      <w:tr>
        <w:trPr>
          <w:trHeight w:val="436" w:hRule="atLeast"/>
        </w:trPr>
        <w:tc>
          <w:tcPr>
            <w:tcW w:w="2012" w:type="dxa"/>
          </w:tcPr>
          <w:p>
            <w:pPr>
              <w:pStyle w:val="TableParagraph"/>
              <w:spacing w:before="83"/>
              <w:ind w:left="811" w:right="778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808</w:t>
            </w:r>
          </w:p>
        </w:tc>
        <w:tc>
          <w:tcPr>
            <w:tcW w:w="7109" w:type="dxa"/>
          </w:tcPr>
          <w:p>
            <w:pPr>
              <w:pStyle w:val="TableParagraph"/>
              <w:spacing w:before="4"/>
              <w:ind w:left="37"/>
              <w:rPr>
                <w:sz w:val="23"/>
              </w:rPr>
            </w:pPr>
            <w:r>
              <w:rPr>
                <w:w w:val="105"/>
                <w:sz w:val="23"/>
              </w:rPr>
              <w:t>Избирательная комиссия Ямало-Ненецкого автономного округа</w:t>
            </w:r>
          </w:p>
        </w:tc>
      </w:tr>
      <w:tr>
        <w:trPr>
          <w:trHeight w:val="435" w:hRule="atLeast"/>
        </w:trPr>
        <w:tc>
          <w:tcPr>
            <w:tcW w:w="2012" w:type="dxa"/>
          </w:tcPr>
          <w:p>
            <w:pPr>
              <w:pStyle w:val="TableParagraph"/>
              <w:spacing w:before="83"/>
              <w:ind w:left="811" w:right="778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840</w:t>
            </w:r>
          </w:p>
        </w:tc>
        <w:tc>
          <w:tcPr>
            <w:tcW w:w="7109" w:type="dxa"/>
          </w:tcPr>
          <w:p>
            <w:pPr>
              <w:pStyle w:val="TableParagraph"/>
              <w:spacing w:before="4"/>
              <w:ind w:left="37"/>
              <w:rPr>
                <w:sz w:val="23"/>
              </w:rPr>
            </w:pPr>
            <w:r>
              <w:rPr>
                <w:w w:val="105"/>
                <w:sz w:val="23"/>
              </w:rPr>
              <w:t>Департамент экономики Ямало-Ненецкого автономного округа</w:t>
            </w:r>
          </w:p>
        </w:tc>
      </w:tr>
      <w:tr>
        <w:trPr>
          <w:trHeight w:val="954" w:hRule="atLeast"/>
        </w:trPr>
        <w:tc>
          <w:tcPr>
            <w:tcW w:w="2012" w:type="dxa"/>
          </w:tcPr>
          <w:p>
            <w:pPr>
              <w:pStyle w:val="TableParagraph"/>
              <w:spacing w:before="9"/>
              <w:rPr>
                <w:b/>
                <w:sz w:val="29"/>
              </w:rPr>
            </w:pPr>
          </w:p>
          <w:p>
            <w:pPr>
              <w:pStyle w:val="TableParagraph"/>
              <w:ind w:left="811" w:right="778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847</w:t>
            </w:r>
          </w:p>
        </w:tc>
        <w:tc>
          <w:tcPr>
            <w:tcW w:w="7109" w:type="dxa"/>
          </w:tcPr>
          <w:p>
            <w:pPr>
              <w:pStyle w:val="TableParagraph"/>
              <w:spacing w:line="268" w:lineRule="auto" w:before="4"/>
              <w:ind w:left="37" w:right="19"/>
              <w:jc w:val="both"/>
              <w:rPr>
                <w:sz w:val="23"/>
              </w:rPr>
            </w:pPr>
            <w:r>
              <w:rPr>
                <w:w w:val="105"/>
                <w:sz w:val="23"/>
              </w:rPr>
              <w:t>Департамент природно-ресурсного регулирования, лесных отношений и развития нефтегазового комплекса Ямало-Ненецкого автономного округа</w:t>
            </w:r>
          </w:p>
        </w:tc>
      </w:tr>
      <w:tr>
        <w:trPr>
          <w:trHeight w:val="1103" w:hRule="atLeast"/>
        </w:trPr>
        <w:tc>
          <w:tcPr>
            <w:tcW w:w="2012" w:type="dxa"/>
          </w:tcPr>
          <w:p>
            <w:pPr>
              <w:pStyle w:val="TableParagraph"/>
              <w:spacing w:before="3"/>
              <w:rPr>
                <w:b/>
                <w:sz w:val="36"/>
              </w:rPr>
            </w:pPr>
          </w:p>
          <w:p>
            <w:pPr>
              <w:pStyle w:val="TableParagraph"/>
              <w:ind w:left="811" w:right="778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888</w:t>
            </w:r>
          </w:p>
        </w:tc>
        <w:tc>
          <w:tcPr>
            <w:tcW w:w="7109" w:type="dxa"/>
          </w:tcPr>
          <w:p>
            <w:pPr>
              <w:pStyle w:val="TableParagraph"/>
              <w:spacing w:before="6"/>
              <w:rPr>
                <w:b/>
                <w:sz w:val="23"/>
              </w:rPr>
            </w:pPr>
          </w:p>
          <w:p>
            <w:pPr>
              <w:pStyle w:val="TableParagraph"/>
              <w:spacing w:line="268" w:lineRule="auto"/>
              <w:ind w:left="37"/>
              <w:rPr>
                <w:sz w:val="23"/>
              </w:rPr>
            </w:pPr>
            <w:r>
              <w:rPr>
                <w:w w:val="105"/>
                <w:sz w:val="23"/>
              </w:rPr>
              <w:t>Служба по надзору за техническим состоянием самоходных машин и других видов техники Ямало-Ненецкого автономного округа</w:t>
            </w:r>
          </w:p>
        </w:tc>
      </w:tr>
    </w:tbl>
    <w:p>
      <w:pPr>
        <w:spacing w:line="240" w:lineRule="auto" w:before="0"/>
        <w:rPr>
          <w:b/>
          <w:sz w:val="26"/>
        </w:rPr>
      </w:pPr>
    </w:p>
    <w:p>
      <w:pPr>
        <w:spacing w:line="240" w:lineRule="auto" w:before="0"/>
        <w:rPr>
          <w:b/>
          <w:sz w:val="26"/>
        </w:rPr>
      </w:pPr>
    </w:p>
    <w:p>
      <w:pPr>
        <w:spacing w:line="268" w:lineRule="auto" w:before="195"/>
        <w:ind w:left="166" w:right="0" w:firstLine="0"/>
        <w:jc w:val="left"/>
        <w:rPr>
          <w:sz w:val="23"/>
        </w:rPr>
      </w:pPr>
      <w:r>
        <w:rPr/>
        <w:drawing>
          <wp:anchor distT="0" distB="0" distL="0" distR="0" allowOverlap="1" layoutInCell="1" locked="0" behindDoc="1" simplePos="0" relativeHeight="251576320">
            <wp:simplePos x="0" y="0"/>
            <wp:positionH relativeFrom="page">
              <wp:posOffset>1028963</wp:posOffset>
            </wp:positionH>
            <wp:positionV relativeFrom="paragraph">
              <wp:posOffset>152226</wp:posOffset>
            </wp:positionV>
            <wp:extent cx="50800" cy="53975"/>
            <wp:effectExtent l="0" t="0" r="0" b="0"/>
            <wp:wrapNone/>
            <wp:docPr id="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800" cy="53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105"/>
          <w:sz w:val="23"/>
        </w:rPr>
        <w:t>&lt;&gt; Являются главными администраторами доходов бюджета района в соответствии </w:t>
      </w:r>
      <w:r>
        <w:rPr>
          <w:spacing w:val="-105"/>
          <w:w w:val="105"/>
          <w:sz w:val="23"/>
        </w:rPr>
        <w:t>с</w:t>
      </w:r>
      <w:r>
        <w:rPr>
          <w:spacing w:val="-10"/>
          <w:w w:val="105"/>
          <w:sz w:val="23"/>
        </w:rPr>
        <w:t> </w:t>
      </w:r>
      <w:r>
        <w:rPr>
          <w:w w:val="105"/>
          <w:sz w:val="23"/>
        </w:rPr>
        <w:t>законодательством Ямало-Ненецкого автономного округа</w:t>
      </w:r>
    </w:p>
    <w:sectPr>
      <w:type w:val="continuous"/>
      <w:pgSz w:w="11910" w:h="16840"/>
      <w:pgMar w:top="780" w:bottom="280" w:left="1300" w:right="12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alibri">
    <w:altName w:val="Calibri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ru-RU" w:bidi="ru-RU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b/>
      <w:bCs/>
      <w:sz w:val="23"/>
      <w:szCs w:val="23"/>
      <w:lang w:val="ru-RU" w:eastAsia="ru-RU" w:bidi="ru-RU"/>
    </w:rPr>
  </w:style>
  <w:style w:styleId="ListParagraph" w:type="paragraph">
    <w:name w:val="List Paragraph"/>
    <w:basedOn w:val="Normal"/>
    <w:uiPriority w:val="1"/>
    <w:qFormat/>
    <w:pPr/>
    <w:rPr>
      <w:lang w:val="ru-RU" w:eastAsia="ru-RU" w:bidi="ru-RU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ru-RU" w:eastAsia="ru-RU" w:bidi="ru-RU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</dc:creator>
  <dcterms:created xsi:type="dcterms:W3CDTF">2019-12-20T12:24:36Z</dcterms:created>
  <dcterms:modified xsi:type="dcterms:W3CDTF">2019-12-20T12:24:36Z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2019-12-20T00:00:00Z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2019-12-20T00:00:00Z</vt:filetime>
  </property>
</Properties>
</file>