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7"/>
        <w:ind w:left="7494" w:right="0" w:firstLine="0"/>
        <w:jc w:val="left"/>
        <w:rPr>
          <w:sz w:val="19"/>
        </w:rPr>
      </w:pPr>
      <w:r>
        <w:rPr>
          <w:sz w:val="19"/>
        </w:rPr>
        <w:t>Приложение 11</w:t>
      </w:r>
    </w:p>
    <w:p>
      <w:pPr>
        <w:spacing w:line="242" w:lineRule="auto" w:before="2"/>
        <w:ind w:left="7494" w:right="453" w:firstLine="0"/>
        <w:jc w:val="left"/>
        <w:rPr>
          <w:sz w:val="19"/>
        </w:rPr>
      </w:pPr>
      <w:r>
        <w:rPr>
          <w:sz w:val="19"/>
        </w:rPr>
        <w:t>к решению Районной  </w:t>
      </w:r>
      <w:r>
        <w:rPr>
          <w:spacing w:val="-3"/>
          <w:sz w:val="19"/>
        </w:rPr>
        <w:t>Думы </w:t>
      </w:r>
      <w:r>
        <w:rPr>
          <w:sz w:val="19"/>
        </w:rPr>
        <w:t>от 04.12.2019 года №</w:t>
      </w:r>
      <w:r>
        <w:rPr>
          <w:spacing w:val="25"/>
          <w:sz w:val="19"/>
        </w:rPr>
        <w:t> </w:t>
      </w:r>
      <w:r>
        <w:rPr>
          <w:spacing w:val="-3"/>
          <w:sz w:val="19"/>
        </w:rPr>
        <w:t>12-1-65</w:t>
      </w:r>
    </w:p>
    <w:p>
      <w:pPr>
        <w:pStyle w:val="BodyText"/>
        <w:rPr>
          <w:b w:val="0"/>
          <w:sz w:val="20"/>
        </w:rPr>
      </w:pPr>
    </w:p>
    <w:p>
      <w:pPr>
        <w:pStyle w:val="BodyText"/>
        <w:spacing w:before="8"/>
        <w:rPr>
          <w:b w:val="0"/>
          <w:sz w:val="18"/>
        </w:rPr>
      </w:pPr>
    </w:p>
    <w:p>
      <w:pPr>
        <w:pStyle w:val="BodyText"/>
        <w:spacing w:line="266" w:lineRule="auto" w:before="93"/>
        <w:ind w:left="3253" w:right="716" w:hanging="2483"/>
      </w:pPr>
      <w:r>
        <w:rPr/>
        <w:t>Программа муниципальных внутренних заимствований муниципального образования на плановый период 2021 и 2022 годов</w:t>
      </w:r>
    </w:p>
    <w:p>
      <w:pPr>
        <w:pStyle w:val="BodyText"/>
        <w:spacing w:before="6"/>
        <w:rPr>
          <w:sz w:val="21"/>
        </w:rPr>
      </w:pPr>
    </w:p>
    <w:p>
      <w:pPr>
        <w:spacing w:before="94" w:after="15"/>
        <w:ind w:left="0" w:right="155" w:firstLine="0"/>
        <w:jc w:val="right"/>
        <w:rPr>
          <w:sz w:val="22"/>
        </w:rPr>
      </w:pPr>
      <w:r>
        <w:rPr>
          <w:sz w:val="22"/>
        </w:rPr>
        <w:t>тыс. рублей</w:t>
      </w:r>
    </w:p>
    <w:tbl>
      <w:tblPr>
        <w:tblW w:w="0" w:type="auto"/>
        <w:jc w:val="left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81"/>
        <w:gridCol w:w="1541"/>
        <w:gridCol w:w="1541"/>
      </w:tblGrid>
      <w:tr>
        <w:trPr>
          <w:trHeight w:val="671" w:hRule="atLeast"/>
        </w:trPr>
        <w:tc>
          <w:tcPr>
            <w:tcW w:w="7081" w:type="dxa"/>
          </w:tcPr>
          <w:p>
            <w:pPr>
              <w:pStyle w:val="TableParagraph"/>
              <w:spacing w:before="214"/>
              <w:ind w:left="2785" w:right="2767"/>
              <w:rPr>
                <w:b/>
                <w:sz w:val="22"/>
              </w:rPr>
            </w:pPr>
            <w:r>
              <w:rPr>
                <w:b/>
                <w:sz w:val="22"/>
              </w:rPr>
              <w:t>Наименование</w:t>
            </w:r>
          </w:p>
        </w:tc>
        <w:tc>
          <w:tcPr>
            <w:tcW w:w="1541" w:type="dxa"/>
          </w:tcPr>
          <w:p>
            <w:pPr>
              <w:pStyle w:val="TableParagraph"/>
              <w:spacing w:line="266" w:lineRule="auto"/>
              <w:ind w:left="355" w:right="257" w:hanging="77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Сумма на 2021 год</w:t>
            </w:r>
          </w:p>
        </w:tc>
        <w:tc>
          <w:tcPr>
            <w:tcW w:w="1541" w:type="dxa"/>
          </w:tcPr>
          <w:p>
            <w:pPr>
              <w:pStyle w:val="TableParagraph"/>
              <w:spacing w:line="266" w:lineRule="auto"/>
              <w:ind w:left="355" w:right="257" w:hanging="77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Сумма на 2022 год</w:t>
            </w:r>
          </w:p>
        </w:tc>
      </w:tr>
      <w:tr>
        <w:trPr>
          <w:trHeight w:val="277" w:hRule="atLeast"/>
        </w:trPr>
        <w:tc>
          <w:tcPr>
            <w:tcW w:w="7081" w:type="dxa"/>
          </w:tcPr>
          <w:p>
            <w:pPr>
              <w:pStyle w:val="TableParagraph"/>
              <w:spacing w:line="240" w:lineRule="exact" w:before="17"/>
              <w:ind w:left="16"/>
              <w:rPr>
                <w:b/>
                <w:sz w:val="22"/>
              </w:rPr>
            </w:pPr>
            <w:r>
              <w:rPr>
                <w:b/>
                <w:w w:val="101"/>
                <w:sz w:val="22"/>
              </w:rPr>
              <w:t>1</w:t>
            </w:r>
          </w:p>
        </w:tc>
        <w:tc>
          <w:tcPr>
            <w:tcW w:w="1541" w:type="dxa"/>
          </w:tcPr>
          <w:p>
            <w:pPr>
              <w:pStyle w:val="TableParagraph"/>
              <w:spacing w:line="240" w:lineRule="exact" w:before="17"/>
              <w:ind w:left="17"/>
              <w:rPr>
                <w:b/>
                <w:sz w:val="22"/>
              </w:rPr>
            </w:pPr>
            <w:r>
              <w:rPr>
                <w:b/>
                <w:w w:val="101"/>
                <w:sz w:val="22"/>
              </w:rPr>
              <w:t>2</w:t>
            </w:r>
          </w:p>
        </w:tc>
        <w:tc>
          <w:tcPr>
            <w:tcW w:w="1541" w:type="dxa"/>
          </w:tcPr>
          <w:p>
            <w:pPr>
              <w:pStyle w:val="TableParagraph"/>
              <w:spacing w:line="240" w:lineRule="exact" w:before="17"/>
              <w:ind w:left="17"/>
              <w:rPr>
                <w:b/>
                <w:sz w:val="22"/>
              </w:rPr>
            </w:pPr>
            <w:r>
              <w:rPr>
                <w:b/>
                <w:w w:val="101"/>
                <w:sz w:val="22"/>
              </w:rPr>
              <w:t>3</w:t>
            </w:r>
          </w:p>
        </w:tc>
      </w:tr>
      <w:tr>
        <w:trPr>
          <w:trHeight w:val="541" w:hRule="atLeast"/>
        </w:trPr>
        <w:tc>
          <w:tcPr>
            <w:tcW w:w="7081" w:type="dxa"/>
          </w:tcPr>
          <w:p>
            <w:pPr>
              <w:pStyle w:val="TableParagraph"/>
              <w:spacing w:before="1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Бюджетные кредиты от других бюджетов бюджетной системы</w:t>
            </w:r>
          </w:p>
          <w:p>
            <w:pPr>
              <w:pStyle w:val="TableParagraph"/>
              <w:spacing w:line="228" w:lineRule="exact" w:before="28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Российской Федерации</w:t>
            </w:r>
          </w:p>
        </w:tc>
        <w:tc>
          <w:tcPr>
            <w:tcW w:w="1541" w:type="dxa"/>
          </w:tcPr>
          <w:p>
            <w:pPr>
              <w:pStyle w:val="TableParagraph"/>
              <w:spacing w:before="149"/>
              <w:ind w:left="17"/>
              <w:rPr>
                <w:b/>
                <w:sz w:val="22"/>
              </w:rPr>
            </w:pPr>
            <w:r>
              <w:rPr>
                <w:b/>
                <w:w w:val="101"/>
                <w:sz w:val="22"/>
              </w:rPr>
              <w:t>0</w:t>
            </w:r>
          </w:p>
        </w:tc>
        <w:tc>
          <w:tcPr>
            <w:tcW w:w="1541" w:type="dxa"/>
          </w:tcPr>
          <w:p>
            <w:pPr>
              <w:pStyle w:val="TableParagraph"/>
              <w:spacing w:before="149"/>
              <w:ind w:left="17"/>
              <w:rPr>
                <w:b/>
                <w:sz w:val="22"/>
              </w:rPr>
            </w:pPr>
            <w:r>
              <w:rPr>
                <w:b/>
                <w:w w:val="101"/>
                <w:sz w:val="22"/>
              </w:rPr>
              <w:t>0</w:t>
            </w:r>
          </w:p>
        </w:tc>
      </w:tr>
      <w:tr>
        <w:trPr>
          <w:trHeight w:val="403" w:hRule="atLeast"/>
        </w:trPr>
        <w:tc>
          <w:tcPr>
            <w:tcW w:w="7081" w:type="dxa"/>
          </w:tcPr>
          <w:p>
            <w:pPr>
              <w:pStyle w:val="TableParagraph"/>
              <w:jc w:val="left"/>
              <w:rPr>
                <w:i/>
                <w:sz w:val="22"/>
              </w:rPr>
            </w:pPr>
            <w:r>
              <w:rPr>
                <w:i/>
                <w:sz w:val="22"/>
              </w:rPr>
              <w:t>объем привлечения</w:t>
            </w:r>
          </w:p>
        </w:tc>
        <w:tc>
          <w:tcPr>
            <w:tcW w:w="1541" w:type="dxa"/>
          </w:tcPr>
          <w:p>
            <w:pPr>
              <w:pStyle w:val="TableParagraph"/>
              <w:ind w:left="323" w:right="307"/>
              <w:rPr>
                <w:sz w:val="22"/>
              </w:rPr>
            </w:pPr>
            <w:r>
              <w:rPr>
                <w:sz w:val="22"/>
              </w:rPr>
              <w:t>100 000</w:t>
            </w:r>
          </w:p>
        </w:tc>
        <w:tc>
          <w:tcPr>
            <w:tcW w:w="1541" w:type="dxa"/>
          </w:tcPr>
          <w:p>
            <w:pPr>
              <w:pStyle w:val="TableParagraph"/>
              <w:ind w:left="322" w:right="307"/>
              <w:rPr>
                <w:sz w:val="22"/>
              </w:rPr>
            </w:pPr>
            <w:r>
              <w:rPr>
                <w:sz w:val="22"/>
              </w:rPr>
              <w:t>100 000</w:t>
            </w:r>
          </w:p>
        </w:tc>
      </w:tr>
      <w:tr>
        <w:trPr>
          <w:trHeight w:val="369" w:hRule="atLeast"/>
        </w:trPr>
        <w:tc>
          <w:tcPr>
            <w:tcW w:w="7081" w:type="dxa"/>
          </w:tcPr>
          <w:p>
            <w:pPr>
              <w:pStyle w:val="TableParagraph"/>
              <w:spacing w:before="58"/>
              <w:jc w:val="left"/>
              <w:rPr>
                <w:i/>
                <w:sz w:val="22"/>
              </w:rPr>
            </w:pPr>
            <w:r>
              <w:rPr>
                <w:i/>
                <w:sz w:val="22"/>
              </w:rPr>
              <w:t>объем погашения</w:t>
            </w:r>
          </w:p>
        </w:tc>
        <w:tc>
          <w:tcPr>
            <w:tcW w:w="1541" w:type="dxa"/>
          </w:tcPr>
          <w:p>
            <w:pPr>
              <w:pStyle w:val="TableParagraph"/>
              <w:spacing w:before="58"/>
              <w:ind w:left="325" w:right="307"/>
              <w:rPr>
                <w:sz w:val="22"/>
              </w:rPr>
            </w:pPr>
            <w:r>
              <w:rPr>
                <w:sz w:val="22"/>
              </w:rPr>
              <w:t>-100 000</w:t>
            </w:r>
          </w:p>
        </w:tc>
        <w:tc>
          <w:tcPr>
            <w:tcW w:w="1541" w:type="dxa"/>
          </w:tcPr>
          <w:p>
            <w:pPr>
              <w:pStyle w:val="TableParagraph"/>
              <w:spacing w:before="58"/>
              <w:ind w:left="325" w:right="307"/>
              <w:rPr>
                <w:sz w:val="22"/>
              </w:rPr>
            </w:pPr>
            <w:r>
              <w:rPr>
                <w:sz w:val="22"/>
              </w:rPr>
              <w:t>-100 000</w:t>
            </w:r>
          </w:p>
        </w:tc>
      </w:tr>
      <w:tr>
        <w:trPr>
          <w:trHeight w:val="911" w:hRule="atLeast"/>
        </w:trPr>
        <w:tc>
          <w:tcPr>
            <w:tcW w:w="7081" w:type="dxa"/>
          </w:tcPr>
          <w:p>
            <w:pPr>
              <w:pStyle w:val="TableParagraph"/>
              <w:spacing w:line="264" w:lineRule="auto" w:before="51"/>
              <w:ind w:right="16"/>
              <w:jc w:val="both"/>
              <w:rPr>
                <w:sz w:val="22"/>
              </w:rPr>
            </w:pPr>
            <w:r>
              <w:rPr>
                <w:sz w:val="22"/>
              </w:rPr>
              <w:t>Предельные сроки погашения долговых обязательств, возникающих при осуществлении муниципальных внутренних заимствований в соответствующем финансовом году</w:t>
            </w:r>
          </w:p>
        </w:tc>
        <w:tc>
          <w:tcPr>
            <w:tcW w:w="1541" w:type="dxa"/>
          </w:tcPr>
          <w:p>
            <w:pPr>
              <w:pStyle w:val="TableParagraph"/>
              <w:spacing w:before="7"/>
              <w:ind w:left="0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327" w:right="307"/>
              <w:rPr>
                <w:sz w:val="22"/>
              </w:rPr>
            </w:pPr>
            <w:r>
              <w:rPr>
                <w:sz w:val="22"/>
              </w:rPr>
              <w:t>до 1 года</w:t>
            </w:r>
          </w:p>
        </w:tc>
        <w:tc>
          <w:tcPr>
            <w:tcW w:w="1541" w:type="dxa"/>
          </w:tcPr>
          <w:p>
            <w:pPr>
              <w:pStyle w:val="TableParagraph"/>
              <w:spacing w:before="7"/>
              <w:ind w:left="0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327" w:right="307"/>
              <w:rPr>
                <w:sz w:val="22"/>
              </w:rPr>
            </w:pPr>
            <w:r>
              <w:rPr>
                <w:sz w:val="22"/>
              </w:rPr>
              <w:t>до 1 года</w:t>
            </w:r>
          </w:p>
        </w:tc>
      </w:tr>
      <w:tr>
        <w:trPr>
          <w:trHeight w:val="594" w:hRule="atLeast"/>
        </w:trPr>
        <w:tc>
          <w:tcPr>
            <w:tcW w:w="7081" w:type="dxa"/>
          </w:tcPr>
          <w:p>
            <w:pPr>
              <w:pStyle w:val="TableParagraph"/>
              <w:spacing w:before="17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Предельный объем муниципальных заимствований</w:t>
            </w:r>
          </w:p>
        </w:tc>
        <w:tc>
          <w:tcPr>
            <w:tcW w:w="1541" w:type="dxa"/>
          </w:tcPr>
          <w:p>
            <w:pPr>
              <w:pStyle w:val="TableParagraph"/>
              <w:spacing w:before="176"/>
              <w:ind w:left="323" w:right="307"/>
              <w:rPr>
                <w:b/>
                <w:sz w:val="22"/>
              </w:rPr>
            </w:pPr>
            <w:r>
              <w:rPr>
                <w:b/>
                <w:sz w:val="22"/>
              </w:rPr>
              <w:t>100 000</w:t>
            </w:r>
          </w:p>
        </w:tc>
        <w:tc>
          <w:tcPr>
            <w:tcW w:w="1541" w:type="dxa"/>
          </w:tcPr>
          <w:p>
            <w:pPr>
              <w:pStyle w:val="TableParagraph"/>
              <w:spacing w:before="176"/>
              <w:ind w:left="322" w:right="307"/>
              <w:rPr>
                <w:b/>
                <w:sz w:val="22"/>
              </w:rPr>
            </w:pPr>
            <w:r>
              <w:rPr>
                <w:b/>
                <w:sz w:val="22"/>
              </w:rPr>
              <w:t>100 000</w:t>
            </w:r>
          </w:p>
        </w:tc>
      </w:tr>
    </w:tbl>
    <w:sectPr>
      <w:type w:val="continuous"/>
      <w:pgSz w:w="11910" w:h="16840"/>
      <w:pgMar w:top="1120" w:bottom="280" w:left="1020" w:right="4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ru-RU" w:bidi="ru-RU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22"/>
      <w:szCs w:val="22"/>
      <w:lang w:val="ru-RU" w:eastAsia="ru-RU" w:bidi="ru-RU"/>
    </w:rPr>
  </w:style>
  <w:style w:styleId="ListParagraph" w:type="paragraph">
    <w:name w:val="List Paragraph"/>
    <w:basedOn w:val="Normal"/>
    <w:uiPriority w:val="1"/>
    <w:qFormat/>
    <w:pPr/>
    <w:rPr>
      <w:lang w:val="ru-RU" w:eastAsia="ru-RU" w:bidi="ru-RU"/>
    </w:rPr>
  </w:style>
  <w:style w:styleId="TableParagraph" w:type="paragraph">
    <w:name w:val="Table Paragraph"/>
    <w:basedOn w:val="Normal"/>
    <w:uiPriority w:val="1"/>
    <w:qFormat/>
    <w:pPr>
      <w:spacing w:before="75"/>
      <w:ind w:left="38"/>
      <w:jc w:val="center"/>
    </w:pPr>
    <w:rPr>
      <w:rFonts w:ascii="Times New Roman" w:hAnsi="Times New Roman" w:eastAsia="Times New Roman" w:cs="Times New Roman"/>
      <w:lang w:val="ru-RU" w:eastAsia="ru-RU" w:bidi="ru-RU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</dc:creator>
  <dcterms:created xsi:type="dcterms:W3CDTF">2019-12-05T10:42:39Z</dcterms:created>
  <dcterms:modified xsi:type="dcterms:W3CDTF">2019-12-05T10:42:39Z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2019-12-05T00:00:00Z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2019-12-05T00:00:00Z</vt:filetime>
  </property>
</Properties>
</file>