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4A" w:rsidRDefault="00507D68">
      <w:pPr>
        <w:spacing w:before="86"/>
        <w:ind w:left="7666"/>
        <w:rPr>
          <w:sz w:val="17"/>
        </w:rPr>
      </w:pPr>
      <w:r>
        <w:rPr>
          <w:w w:val="105"/>
          <w:sz w:val="17"/>
        </w:rPr>
        <w:t>Приложение 7</w:t>
      </w:r>
    </w:p>
    <w:p w:rsidR="0012784A" w:rsidRDefault="00507D68">
      <w:pPr>
        <w:spacing w:before="6" w:line="247" w:lineRule="auto"/>
        <w:ind w:left="7666" w:right="343"/>
        <w:rPr>
          <w:sz w:val="17"/>
        </w:rPr>
      </w:pPr>
      <w:r>
        <w:rPr>
          <w:w w:val="105"/>
          <w:sz w:val="17"/>
        </w:rPr>
        <w:t xml:space="preserve">к решению Районной Думы от 04.12.2019 года </w:t>
      </w:r>
      <w:bookmarkStart w:id="0" w:name="_GoBack"/>
      <w:bookmarkEnd w:id="0"/>
      <w:r>
        <w:rPr>
          <w:w w:val="105"/>
          <w:sz w:val="17"/>
        </w:rPr>
        <w:t>№ 12-1-65</w:t>
      </w:r>
    </w:p>
    <w:p w:rsidR="0012784A" w:rsidRDefault="0012784A">
      <w:pPr>
        <w:rPr>
          <w:sz w:val="20"/>
        </w:rPr>
      </w:pPr>
    </w:p>
    <w:p w:rsidR="0012784A" w:rsidRDefault="0012784A">
      <w:pPr>
        <w:spacing w:before="10"/>
        <w:rPr>
          <w:sz w:val="21"/>
        </w:rPr>
      </w:pPr>
    </w:p>
    <w:p w:rsidR="0012784A" w:rsidRDefault="00507D68">
      <w:pPr>
        <w:pStyle w:val="a3"/>
        <w:spacing w:before="95" w:line="268" w:lineRule="auto"/>
        <w:ind w:left="384" w:right="343" w:firstLine="117"/>
      </w:pPr>
      <w:r>
        <w:t xml:space="preserve">Перечень главных </w:t>
      </w:r>
      <w:proofErr w:type="gramStart"/>
      <w:r>
        <w:t>администраторов источников внутреннего финансирования дефицита бюджета</w:t>
      </w:r>
      <w:proofErr w:type="gramEnd"/>
      <w:r>
        <w:t xml:space="preserve"> района, закрепляемые за ними коды классификации источников финансирования дефицита бюджета</w:t>
      </w:r>
    </w:p>
    <w:p w:rsidR="0012784A" w:rsidRDefault="0012784A">
      <w:pPr>
        <w:spacing w:before="9"/>
        <w:rPr>
          <w:b/>
          <w:sz w:val="26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6"/>
        <w:gridCol w:w="2303"/>
        <w:gridCol w:w="5921"/>
      </w:tblGrid>
      <w:tr w:rsidR="0012784A">
        <w:trPr>
          <w:trHeight w:val="1895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2" w:line="268" w:lineRule="auto"/>
              <w:ind w:left="136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Код главного администратора</w:t>
            </w:r>
          </w:p>
          <w:p w:rsidR="0012784A" w:rsidRDefault="00507D68">
            <w:pPr>
              <w:pStyle w:val="TableParagraph"/>
              <w:spacing w:line="268" w:lineRule="auto"/>
              <w:ind w:left="318" w:right="30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источников </w:t>
            </w:r>
            <w:proofErr w:type="gramStart"/>
            <w:r>
              <w:rPr>
                <w:b/>
                <w:sz w:val="20"/>
              </w:rPr>
              <w:t>внутреннего</w:t>
            </w:r>
            <w:proofErr w:type="gramEnd"/>
          </w:p>
          <w:p w:rsidR="0012784A" w:rsidRDefault="00507D68">
            <w:pPr>
              <w:pStyle w:val="TableParagraph"/>
              <w:spacing w:line="268" w:lineRule="auto"/>
              <w:ind w:left="107" w:right="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финансирования дефицита бюджета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2"/>
              <w:ind w:left="126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группы,</w:t>
            </w:r>
          </w:p>
          <w:p w:rsidR="0012784A" w:rsidRDefault="00507D68">
            <w:pPr>
              <w:pStyle w:val="TableParagraph"/>
              <w:spacing w:before="27" w:line="268" w:lineRule="auto"/>
              <w:ind w:left="128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подгруппы, статьи и вида источников внутреннего</w:t>
            </w:r>
          </w:p>
          <w:p w:rsidR="0012784A" w:rsidRDefault="00507D68">
            <w:pPr>
              <w:pStyle w:val="TableParagraph"/>
              <w:spacing w:line="268" w:lineRule="auto"/>
              <w:ind w:left="277" w:firstLine="84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финансирования дефицита бюджета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12"/>
              <w:ind w:left="2276" w:right="2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</w:tr>
      <w:tr w:rsidR="0012784A">
        <w:trPr>
          <w:trHeight w:val="249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7" w:line="222" w:lineRule="exact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7" w:line="222" w:lineRule="exact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22" w:lineRule="exact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</w:tr>
      <w:tr w:rsidR="0012784A">
        <w:trPr>
          <w:trHeight w:val="537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58"/>
              <w:ind w:left="107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977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12"/>
              <w:rPr>
                <w:b/>
                <w:sz w:val="20"/>
              </w:rPr>
            </w:pPr>
            <w:r>
              <w:rPr>
                <w:b/>
                <w:sz w:val="20"/>
              </w:rPr>
              <w:t>Департамент имущественных и земельных отношений</w:t>
            </w:r>
          </w:p>
          <w:p w:rsidR="0012784A" w:rsidRDefault="00507D68">
            <w:pPr>
              <w:pStyle w:val="TableParagraph"/>
              <w:spacing w:before="27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Администрации Тазовского района</w:t>
            </w:r>
          </w:p>
        </w:tc>
      </w:tr>
      <w:tr w:rsidR="0012784A">
        <w:trPr>
          <w:trHeight w:val="589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77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977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77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01 06 01 00 05 0000 630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rPr>
                <w:sz w:val="20"/>
              </w:rPr>
            </w:pPr>
            <w:r>
              <w:rPr>
                <w:sz w:val="20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</w:tr>
      <w:tr w:rsidR="0012784A">
        <w:trPr>
          <w:trHeight w:val="357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67"/>
              <w:ind w:left="107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12"/>
              <w:rPr>
                <w:b/>
                <w:sz w:val="20"/>
              </w:rPr>
            </w:pPr>
            <w:r>
              <w:rPr>
                <w:b/>
                <w:sz w:val="20"/>
              </w:rPr>
              <w:t>Департамент финансов Администрации Тазовского района</w:t>
            </w:r>
          </w:p>
        </w:tc>
      </w:tr>
      <w:tr w:rsidR="0012784A">
        <w:trPr>
          <w:trHeight w:val="536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51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51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01 02 00 00 05 0000 710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бюджетами</w:t>
            </w:r>
          </w:p>
          <w:p w:rsidR="0012784A" w:rsidRDefault="00507D68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муниципальных районов в валюте Российской Федерации</w:t>
            </w:r>
          </w:p>
        </w:tc>
      </w:tr>
      <w:tr w:rsidR="0012784A">
        <w:trPr>
          <w:trHeight w:val="515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41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41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01 02 00 00 05 0000 810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 xml:space="preserve">Погашение бюджетами муниципальных районов кредитов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12784A" w:rsidRDefault="00507D68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кредитных организаций в валюте Российской Федерации</w:t>
            </w:r>
          </w:p>
        </w:tc>
      </w:tr>
      <w:tr w:rsidR="0012784A">
        <w:trPr>
          <w:trHeight w:val="813"/>
        </w:trPr>
        <w:tc>
          <w:tcPr>
            <w:tcW w:w="1796" w:type="dxa"/>
          </w:tcPr>
          <w:p w:rsidR="0012784A" w:rsidRDefault="0012784A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12784A" w:rsidRDefault="00507D68">
            <w:pPr>
              <w:pStyle w:val="TableParagraph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12784A" w:rsidRDefault="00507D68">
            <w:pPr>
              <w:pStyle w:val="TableParagraph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01 03 01 00 05 0000 710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ind w:right="16"/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12784A">
        <w:trPr>
          <w:trHeight w:val="791"/>
        </w:trPr>
        <w:tc>
          <w:tcPr>
            <w:tcW w:w="1796" w:type="dxa"/>
          </w:tcPr>
          <w:p w:rsidR="0012784A" w:rsidRDefault="0012784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12784A" w:rsidRDefault="00507D68">
            <w:pPr>
              <w:pStyle w:val="TableParagraph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12784A" w:rsidRDefault="00507D68">
            <w:pPr>
              <w:pStyle w:val="TableParagraph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01 03 01 00 05 0000 810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 xml:space="preserve">Погашение бюджетами муниципальных районов кредитов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12784A" w:rsidRDefault="00507D68">
            <w:pPr>
              <w:pStyle w:val="TableParagraph"/>
              <w:spacing w:before="4" w:line="250" w:lineRule="atLeast"/>
              <w:rPr>
                <w:sz w:val="20"/>
              </w:rPr>
            </w:pPr>
            <w:r>
              <w:rPr>
                <w:sz w:val="20"/>
              </w:rPr>
              <w:t>других бюджетов бюджетной системы Российской Федерации в валюте Российской Федерации</w:t>
            </w:r>
          </w:p>
        </w:tc>
      </w:tr>
      <w:tr w:rsidR="0012784A">
        <w:trPr>
          <w:trHeight w:val="505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37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37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01 05 02 01 05 0000 510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tabs>
                <w:tab w:val="left" w:pos="1275"/>
                <w:tab w:val="left" w:pos="2103"/>
                <w:tab w:val="left" w:pos="4144"/>
              </w:tabs>
              <w:spacing w:before="7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  <w:t>прочих</w:t>
            </w:r>
            <w:r>
              <w:rPr>
                <w:sz w:val="20"/>
              </w:rPr>
              <w:tab/>
              <w:t xml:space="preserve">остатков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z w:val="20"/>
              </w:rPr>
              <w:tab/>
              <w:t>средств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бюджетов</w:t>
            </w:r>
          </w:p>
          <w:p w:rsidR="0012784A" w:rsidRDefault="00507D68">
            <w:pPr>
              <w:pStyle w:val="TableParagraph"/>
              <w:spacing w:before="25" w:line="224" w:lineRule="exact"/>
              <w:rPr>
                <w:sz w:val="20"/>
              </w:rPr>
            </w:pPr>
            <w:r>
              <w:rPr>
                <w:sz w:val="20"/>
              </w:rPr>
              <w:t>муниципальных районов</w:t>
            </w:r>
          </w:p>
        </w:tc>
      </w:tr>
      <w:tr w:rsidR="0012784A">
        <w:trPr>
          <w:trHeight w:val="558"/>
        </w:trPr>
        <w:tc>
          <w:tcPr>
            <w:tcW w:w="1796" w:type="dxa"/>
          </w:tcPr>
          <w:p w:rsidR="0012784A" w:rsidRDefault="00507D68">
            <w:pPr>
              <w:pStyle w:val="TableParagraph"/>
              <w:spacing w:before="163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507D68">
            <w:pPr>
              <w:pStyle w:val="TableParagraph"/>
              <w:spacing w:before="163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01 05 02 01 05 0000 610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12784A">
        <w:trPr>
          <w:trHeight w:val="1576"/>
        </w:trPr>
        <w:tc>
          <w:tcPr>
            <w:tcW w:w="1796" w:type="dxa"/>
          </w:tcPr>
          <w:p w:rsidR="0012784A" w:rsidRDefault="0012784A">
            <w:pPr>
              <w:pStyle w:val="TableParagraph"/>
              <w:ind w:left="0"/>
              <w:rPr>
                <w:b/>
              </w:rPr>
            </w:pPr>
          </w:p>
          <w:p w:rsidR="0012784A" w:rsidRDefault="0012784A">
            <w:pPr>
              <w:pStyle w:val="TableParagraph"/>
              <w:ind w:left="0"/>
              <w:rPr>
                <w:b/>
              </w:rPr>
            </w:pPr>
          </w:p>
          <w:p w:rsidR="0012784A" w:rsidRDefault="00507D68">
            <w:pPr>
              <w:pStyle w:val="TableParagraph"/>
              <w:spacing w:before="166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ind w:left="0"/>
              <w:rPr>
                <w:b/>
              </w:rPr>
            </w:pPr>
          </w:p>
          <w:p w:rsidR="0012784A" w:rsidRDefault="0012784A">
            <w:pPr>
              <w:pStyle w:val="TableParagraph"/>
              <w:ind w:left="0"/>
              <w:rPr>
                <w:b/>
              </w:rPr>
            </w:pPr>
          </w:p>
          <w:p w:rsidR="0012784A" w:rsidRDefault="00507D68">
            <w:pPr>
              <w:pStyle w:val="TableParagraph"/>
              <w:spacing w:before="166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01 06 04 01 05 0000 810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ind w:right="16"/>
              <w:jc w:val="both"/>
              <w:rPr>
                <w:sz w:val="20"/>
              </w:rPr>
            </w:pPr>
            <w:r>
              <w:rPr>
                <w:sz w:val="20"/>
              </w:rPr>
              <w:t>Исполнение муниципальных гарантий муниципальных районов в валюте Российской Федерации в случае,  если 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</w:t>
            </w:r>
            <w:r>
              <w:rPr>
                <w:sz w:val="20"/>
              </w:rPr>
              <w:t xml:space="preserve"> требования бенефициара 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принципалу</w:t>
            </w:r>
          </w:p>
        </w:tc>
      </w:tr>
      <w:tr w:rsidR="0012784A">
        <w:trPr>
          <w:trHeight w:val="779"/>
        </w:trPr>
        <w:tc>
          <w:tcPr>
            <w:tcW w:w="1796" w:type="dxa"/>
          </w:tcPr>
          <w:p w:rsidR="0012784A" w:rsidRDefault="0012784A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12784A" w:rsidRDefault="00507D68">
            <w:pPr>
              <w:pStyle w:val="TableParagraph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12784A" w:rsidRDefault="00507D68">
            <w:pPr>
              <w:pStyle w:val="TableParagraph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01 06 05 01 05 0000 640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юридическим лицам из бюджетов муниципальных районов в валюте Российской</w:t>
            </w:r>
          </w:p>
          <w:p w:rsidR="0012784A" w:rsidRDefault="00507D6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Федерации</w:t>
            </w:r>
          </w:p>
        </w:tc>
      </w:tr>
      <w:tr w:rsidR="0012784A">
        <w:trPr>
          <w:trHeight w:val="760"/>
        </w:trPr>
        <w:tc>
          <w:tcPr>
            <w:tcW w:w="1796" w:type="dxa"/>
          </w:tcPr>
          <w:p w:rsidR="0012784A" w:rsidRDefault="0012784A">
            <w:pPr>
              <w:pStyle w:val="TableParagraph"/>
              <w:spacing w:before="11"/>
              <w:ind w:left="0"/>
              <w:rPr>
                <w:b/>
              </w:rPr>
            </w:pPr>
          </w:p>
          <w:p w:rsidR="0012784A" w:rsidRDefault="00507D68">
            <w:pPr>
              <w:pStyle w:val="TableParagraph"/>
              <w:ind w:left="107" w:right="77"/>
              <w:jc w:val="center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2303" w:type="dxa"/>
          </w:tcPr>
          <w:p w:rsidR="0012784A" w:rsidRDefault="0012784A">
            <w:pPr>
              <w:pStyle w:val="TableParagraph"/>
              <w:spacing w:before="11"/>
              <w:ind w:left="0"/>
              <w:rPr>
                <w:b/>
              </w:rPr>
            </w:pPr>
          </w:p>
          <w:p w:rsidR="0012784A" w:rsidRDefault="00507D68">
            <w:pPr>
              <w:pStyle w:val="TableParagraph"/>
              <w:ind w:left="138" w:right="110"/>
              <w:jc w:val="center"/>
              <w:rPr>
                <w:sz w:val="20"/>
              </w:rPr>
            </w:pPr>
            <w:r>
              <w:rPr>
                <w:sz w:val="20"/>
              </w:rPr>
              <w:t>01 06 08 00 05 0000 640</w:t>
            </w:r>
          </w:p>
        </w:tc>
        <w:tc>
          <w:tcPr>
            <w:tcW w:w="5921" w:type="dxa"/>
          </w:tcPr>
          <w:p w:rsidR="0012784A" w:rsidRDefault="00507D68">
            <w:pPr>
              <w:pStyle w:val="TableParagraph"/>
              <w:spacing w:before="7" w:line="266" w:lineRule="auto"/>
              <w:rPr>
                <w:sz w:val="20"/>
              </w:rPr>
            </w:pPr>
            <w:r>
              <w:rPr>
                <w:sz w:val="20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</w:tr>
    </w:tbl>
    <w:p w:rsidR="00000000" w:rsidRDefault="00507D68"/>
    <w:sectPr w:rsidR="00000000">
      <w:type w:val="continuous"/>
      <w:pgSz w:w="11910" w:h="16840"/>
      <w:pgMar w:top="118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2784A"/>
    <w:rsid w:val="0012784A"/>
    <w:rsid w:val="0050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2019-12-05T10:41:00Z</dcterms:created>
  <dcterms:modified xsi:type="dcterms:W3CDTF">2019-12-05T10:46:00Z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