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5"/>
        <w:rPr>
          <w:sz w:val="16"/>
        </w:rPr>
      </w:pPr>
    </w:p>
    <w:p>
      <w:pPr>
        <w:pStyle w:val="BodyText"/>
        <w:ind w:left="3311"/>
      </w:pPr>
      <w:r>
        <w:rPr/>
        <w:t>Программа муниципальных гарантий муниципального образования в валюте Российской Федерации на 2020 год</w:t>
      </w:r>
    </w:p>
    <w:p>
      <w:pPr>
        <w:pStyle w:val="ListParagraph"/>
        <w:numPr>
          <w:ilvl w:val="1"/>
          <w:numId w:val="1"/>
        </w:numPr>
        <w:tabs>
          <w:tab w:pos="4001" w:val="left" w:leader="none"/>
        </w:tabs>
        <w:spacing w:line="240" w:lineRule="auto" w:before="91" w:after="0"/>
        <w:ind w:left="4000" w:right="0" w:hanging="270"/>
        <w:jc w:val="left"/>
        <w:rPr>
          <w:b/>
          <w:sz w:val="15"/>
        </w:rPr>
      </w:pPr>
      <w:r>
        <w:rPr>
          <w:b/>
          <w:sz w:val="15"/>
        </w:rPr>
        <w:t>Перечень муниципальных гарантий муниципального образования, предоставляемых в 2020</w:t>
      </w:r>
      <w:r>
        <w:rPr>
          <w:b/>
          <w:spacing w:val="22"/>
          <w:sz w:val="15"/>
        </w:rPr>
        <w:t> </w:t>
      </w:r>
      <w:r>
        <w:rPr>
          <w:b/>
          <w:sz w:val="15"/>
        </w:rPr>
        <w:t>году</w:t>
      </w:r>
    </w:p>
    <w:p>
      <w:pPr>
        <w:spacing w:line="240" w:lineRule="auto" w:before="2"/>
        <w:rPr>
          <w:b/>
          <w:sz w:val="14"/>
        </w:rPr>
      </w:pPr>
      <w:r>
        <w:rPr/>
        <w:br w:type="column"/>
      </w:r>
      <w:r>
        <w:rPr>
          <w:b/>
          <w:sz w:val="14"/>
        </w:rPr>
      </w:r>
    </w:p>
    <w:p>
      <w:pPr>
        <w:spacing w:line="146" w:lineRule="exact" w:before="0"/>
        <w:ind w:left="1288" w:right="0" w:firstLine="0"/>
        <w:jc w:val="left"/>
        <w:rPr>
          <w:sz w:val="13"/>
        </w:rPr>
      </w:pPr>
      <w:r>
        <w:rPr>
          <w:sz w:val="13"/>
        </w:rPr>
        <w:t>Приложение 12</w:t>
      </w:r>
    </w:p>
    <w:p>
      <w:pPr>
        <w:spacing w:line="244" w:lineRule="auto" w:before="0"/>
        <w:ind w:left="1288" w:right="317" w:firstLine="0"/>
        <w:jc w:val="left"/>
        <w:rPr>
          <w:sz w:val="13"/>
        </w:rPr>
      </w:pPr>
      <w:r>
        <w:rPr>
          <w:sz w:val="13"/>
        </w:rPr>
        <w:t>к решению Районной Думы от 04.12.2019 года №</w:t>
      </w:r>
      <w:r>
        <w:rPr>
          <w:spacing w:val="14"/>
          <w:sz w:val="13"/>
        </w:rPr>
        <w:t> </w:t>
      </w:r>
      <w:r>
        <w:rPr>
          <w:sz w:val="13"/>
        </w:rPr>
        <w:t>12-1-65</w:t>
      </w: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0"/>
        <w:rPr>
          <w:sz w:val="14"/>
        </w:rPr>
      </w:pPr>
    </w:p>
    <w:p>
      <w:pPr>
        <w:spacing w:line="240" w:lineRule="auto" w:before="5"/>
        <w:rPr>
          <w:sz w:val="13"/>
        </w:rPr>
      </w:pPr>
    </w:p>
    <w:p>
      <w:pPr>
        <w:spacing w:before="0"/>
        <w:ind w:left="0" w:right="147" w:firstLine="0"/>
        <w:jc w:val="right"/>
        <w:rPr>
          <w:sz w:val="15"/>
        </w:rPr>
      </w:pPr>
      <w:r>
        <w:rPr>
          <w:sz w:val="15"/>
        </w:rPr>
        <w:t>тыс. рублей</w:t>
      </w:r>
    </w:p>
    <w:p>
      <w:pPr>
        <w:spacing w:after="0"/>
        <w:jc w:val="right"/>
        <w:rPr>
          <w:sz w:val="15"/>
        </w:rPr>
        <w:sectPr>
          <w:type w:val="continuous"/>
          <w:pgSz w:w="16840" w:h="11910" w:orient="landscape"/>
          <w:pgMar w:top="1100" w:bottom="280" w:left="1100" w:right="1120"/>
          <w:cols w:num="2" w:equalWidth="0">
            <w:col w:w="11306" w:space="40"/>
            <w:col w:w="3274"/>
          </w:cols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1301"/>
        <w:gridCol w:w="1371"/>
        <w:gridCol w:w="1042"/>
        <w:gridCol w:w="5543"/>
      </w:tblGrid>
      <w:tr>
        <w:trPr>
          <w:trHeight w:val="1605" w:hRule="atLeast"/>
        </w:trPr>
        <w:tc>
          <w:tcPr>
            <w:tcW w:w="511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4"/>
              </w:rPr>
            </w:pPr>
          </w:p>
          <w:p>
            <w:pPr>
              <w:pStyle w:val="TableParagraph"/>
              <w:ind w:left="1785" w:right="177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Цели гарантирования</w:t>
            </w:r>
          </w:p>
        </w:tc>
        <w:tc>
          <w:tcPr>
            <w:tcW w:w="1301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line="266" w:lineRule="auto"/>
              <w:ind w:left="222" w:hanging="87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 принципала</w:t>
            </w:r>
          </w:p>
        </w:tc>
        <w:tc>
          <w:tcPr>
            <w:tcW w:w="1371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266" w:lineRule="auto" w:before="1"/>
              <w:ind w:left="66" w:right="54" w:firstLine="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Общий объем предоставляемых муниципальных гарантий</w:t>
            </w:r>
          </w:p>
        </w:tc>
        <w:tc>
          <w:tcPr>
            <w:tcW w:w="1042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266" w:lineRule="auto" w:before="1"/>
              <w:ind w:left="109" w:right="98" w:firstLine="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Наличие права регрессного требования</w:t>
            </w:r>
          </w:p>
        </w:tc>
        <w:tc>
          <w:tcPr>
            <w:tcW w:w="5543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line="266" w:lineRule="auto"/>
              <w:ind w:left="1721" w:hanging="1464"/>
              <w:rPr>
                <w:b/>
                <w:sz w:val="15"/>
              </w:rPr>
            </w:pPr>
            <w:r>
              <w:rPr>
                <w:b/>
                <w:sz w:val="15"/>
              </w:rPr>
              <w:t>Иные условия предоставления и исполнения муниципальных гарантий муниципального образования</w:t>
            </w:r>
          </w:p>
        </w:tc>
      </w:tr>
      <w:tr>
        <w:trPr>
          <w:trHeight w:val="189" w:hRule="atLeast"/>
        </w:trPr>
        <w:tc>
          <w:tcPr>
            <w:tcW w:w="5118" w:type="dxa"/>
          </w:tcPr>
          <w:p>
            <w:pPr>
              <w:pStyle w:val="TableParagraph"/>
              <w:spacing w:line="169" w:lineRule="exact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  <w:tc>
          <w:tcPr>
            <w:tcW w:w="1301" w:type="dxa"/>
          </w:tcPr>
          <w:p>
            <w:pPr>
              <w:pStyle w:val="TableParagraph"/>
              <w:spacing w:line="169" w:lineRule="exact"/>
              <w:ind w:left="13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2</w:t>
            </w:r>
          </w:p>
        </w:tc>
        <w:tc>
          <w:tcPr>
            <w:tcW w:w="1371" w:type="dxa"/>
          </w:tcPr>
          <w:p>
            <w:pPr>
              <w:pStyle w:val="TableParagraph"/>
              <w:spacing w:line="169" w:lineRule="exact"/>
              <w:ind w:left="10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3</w:t>
            </w:r>
          </w:p>
        </w:tc>
        <w:tc>
          <w:tcPr>
            <w:tcW w:w="1042" w:type="dxa"/>
          </w:tcPr>
          <w:p>
            <w:pPr>
              <w:pStyle w:val="TableParagraph"/>
              <w:spacing w:line="169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4</w:t>
            </w:r>
          </w:p>
        </w:tc>
        <w:tc>
          <w:tcPr>
            <w:tcW w:w="5543" w:type="dxa"/>
          </w:tcPr>
          <w:p>
            <w:pPr>
              <w:pStyle w:val="TableParagraph"/>
              <w:spacing w:line="169" w:lineRule="exact"/>
              <w:ind w:left="9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5</w:t>
            </w:r>
          </w:p>
        </w:tc>
      </w:tr>
      <w:tr>
        <w:trPr>
          <w:trHeight w:val="1043" w:hRule="atLeast"/>
        </w:trPr>
        <w:tc>
          <w:tcPr>
            <w:tcW w:w="5118" w:type="dxa"/>
          </w:tcPr>
          <w:p>
            <w:pPr>
              <w:pStyle w:val="TableParagraph"/>
              <w:spacing w:line="266" w:lineRule="auto" w:before="8"/>
              <w:ind w:left="28"/>
              <w:rPr>
                <w:sz w:val="15"/>
              </w:rPr>
            </w:pPr>
            <w:r>
              <w:rPr>
                <w:sz w:val="15"/>
              </w:rPr>
              <w:t>Для закупа и досрочного завоза в навигацию 2020-2021 годов продуктов питания, товаров первой необходимости, товаров народного потребления, товаров национального спроса и нефтепродуктов для реализации населению села Гыда и Гыданской тундры, а также для обеспечения учреждений бюджетной сферы</w:t>
            </w:r>
          </w:p>
        </w:tc>
        <w:tc>
          <w:tcPr>
            <w:tcW w:w="1301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266" w:lineRule="auto"/>
              <w:ind w:left="102" w:right="88" w:firstLine="2"/>
              <w:jc w:val="center"/>
              <w:rPr>
                <w:sz w:val="15"/>
              </w:rPr>
            </w:pPr>
            <w:r>
              <w:rPr>
                <w:sz w:val="15"/>
              </w:rPr>
              <w:t>Гыданское потребительское общество</w:t>
            </w:r>
          </w:p>
        </w:tc>
        <w:tc>
          <w:tcPr>
            <w:tcW w:w="1371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421" w:right="411"/>
              <w:jc w:val="center"/>
              <w:rPr>
                <w:sz w:val="15"/>
              </w:rPr>
            </w:pPr>
            <w:r>
              <w:rPr>
                <w:sz w:val="15"/>
              </w:rPr>
              <w:t>80 000</w:t>
            </w:r>
          </w:p>
        </w:tc>
        <w:tc>
          <w:tcPr>
            <w:tcW w:w="1042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367" w:right="357"/>
              <w:jc w:val="center"/>
              <w:rPr>
                <w:sz w:val="15"/>
              </w:rPr>
            </w:pPr>
            <w:r>
              <w:rPr>
                <w:sz w:val="15"/>
              </w:rPr>
              <w:t>есть</w:t>
            </w:r>
          </w:p>
        </w:tc>
        <w:tc>
          <w:tcPr>
            <w:tcW w:w="5543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182" w:val="left" w:leader="none"/>
              </w:tabs>
              <w:spacing w:line="266" w:lineRule="auto" w:before="8" w:after="0"/>
              <w:ind w:left="27" w:right="704" w:firstLine="0"/>
              <w:jc w:val="left"/>
              <w:rPr>
                <w:sz w:val="15"/>
              </w:rPr>
            </w:pPr>
            <w:r>
              <w:rPr>
                <w:sz w:val="15"/>
              </w:rPr>
              <w:t>С предоставлением обеспечения права регрессного требования по предоставленной муниципальной гарантии муниципального образования Тазовский район.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82" w:val="left" w:leader="none"/>
              </w:tabs>
              <w:spacing w:line="266" w:lineRule="auto" w:before="2" w:after="0"/>
              <w:ind w:left="27" w:right="233" w:firstLine="0"/>
              <w:jc w:val="left"/>
              <w:rPr>
                <w:sz w:val="15"/>
              </w:rPr>
            </w:pPr>
            <w:r>
              <w:rPr>
                <w:sz w:val="15"/>
              </w:rPr>
              <w:t>Муниципальная гарантия не обеспечивает исполнения обязательств по уплате процентов, неустоек, пеней,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штрафов.</w:t>
            </w:r>
          </w:p>
        </w:tc>
      </w:tr>
      <w:tr>
        <w:trPr>
          <w:trHeight w:val="1070" w:hRule="atLeast"/>
        </w:trPr>
        <w:tc>
          <w:tcPr>
            <w:tcW w:w="5118" w:type="dxa"/>
          </w:tcPr>
          <w:p>
            <w:pPr>
              <w:pStyle w:val="TableParagraph"/>
              <w:spacing w:line="266" w:lineRule="auto" w:before="8"/>
              <w:ind w:left="28"/>
              <w:rPr>
                <w:sz w:val="15"/>
              </w:rPr>
            </w:pPr>
            <w:r>
              <w:rPr>
                <w:sz w:val="15"/>
              </w:rPr>
              <w:t>Для закупа и досрочного завоза в навигацию 2020-2021 годов продуктов питания, товаров первой необходимости, товаров народного потребления, товаров национального спроса и нефтепродуктов для реализации населению села Антипаюта и Антипаютинской тундры, а также для обеспечения учреждений бюджетной сферы</w:t>
            </w:r>
          </w:p>
        </w:tc>
        <w:tc>
          <w:tcPr>
            <w:tcW w:w="1301" w:type="dxa"/>
          </w:tcPr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spacing w:line="266" w:lineRule="auto"/>
              <w:ind w:left="90" w:right="76"/>
              <w:jc w:val="center"/>
              <w:rPr>
                <w:sz w:val="15"/>
              </w:rPr>
            </w:pPr>
            <w:r>
              <w:rPr>
                <w:sz w:val="15"/>
              </w:rPr>
              <w:t>Антипаютинское потребительское общество</w:t>
            </w:r>
          </w:p>
        </w:tc>
        <w:tc>
          <w:tcPr>
            <w:tcW w:w="1371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ind w:left="421" w:right="411"/>
              <w:jc w:val="center"/>
              <w:rPr>
                <w:sz w:val="15"/>
              </w:rPr>
            </w:pPr>
            <w:r>
              <w:rPr>
                <w:sz w:val="15"/>
              </w:rPr>
              <w:t>35 000</w:t>
            </w:r>
          </w:p>
        </w:tc>
        <w:tc>
          <w:tcPr>
            <w:tcW w:w="1042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ind w:left="367" w:right="357"/>
              <w:jc w:val="center"/>
              <w:rPr>
                <w:sz w:val="15"/>
              </w:rPr>
            </w:pPr>
            <w:r>
              <w:rPr>
                <w:sz w:val="15"/>
              </w:rPr>
              <w:t>есть</w:t>
            </w:r>
          </w:p>
        </w:tc>
        <w:tc>
          <w:tcPr>
            <w:tcW w:w="5543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182" w:val="left" w:leader="none"/>
              </w:tabs>
              <w:spacing w:line="266" w:lineRule="auto" w:before="8" w:after="0"/>
              <w:ind w:left="27" w:right="704" w:firstLine="0"/>
              <w:jc w:val="left"/>
              <w:rPr>
                <w:sz w:val="15"/>
              </w:rPr>
            </w:pPr>
            <w:r>
              <w:rPr>
                <w:sz w:val="15"/>
              </w:rPr>
              <w:t>С предоставлением обеспечения права регрессного требования по предоставленной муниципальной гарантии муниципального образования Тазовский район.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82" w:val="left" w:leader="none"/>
              </w:tabs>
              <w:spacing w:line="268" w:lineRule="auto" w:before="2" w:after="0"/>
              <w:ind w:left="27" w:right="233" w:firstLine="0"/>
              <w:jc w:val="left"/>
              <w:rPr>
                <w:sz w:val="15"/>
              </w:rPr>
            </w:pPr>
            <w:r>
              <w:rPr>
                <w:sz w:val="15"/>
              </w:rPr>
              <w:t>Муниципальная гарантия не обеспечивает исполнения обязательств по уплате процентов, неустоек, пеней,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штрафов.</w:t>
            </w:r>
          </w:p>
        </w:tc>
      </w:tr>
      <w:tr>
        <w:trPr>
          <w:trHeight w:val="373" w:hRule="atLeast"/>
        </w:trPr>
        <w:tc>
          <w:tcPr>
            <w:tcW w:w="5118" w:type="dxa"/>
          </w:tcPr>
          <w:p>
            <w:pPr>
              <w:pStyle w:val="TableParagraph"/>
              <w:spacing w:before="104"/>
              <w:ind w:left="1785" w:right="175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ИТОГО</w:t>
            </w:r>
          </w:p>
        </w:tc>
        <w:tc>
          <w:tcPr>
            <w:tcW w:w="13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71" w:type="dxa"/>
          </w:tcPr>
          <w:p>
            <w:pPr>
              <w:pStyle w:val="TableParagraph"/>
              <w:spacing w:before="107"/>
              <w:ind w:left="421" w:right="41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115 000</w:t>
            </w:r>
          </w:p>
        </w:tc>
        <w:tc>
          <w:tcPr>
            <w:tcW w:w="104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43" w:type="dxa"/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spacing w:line="240" w:lineRule="auto" w:before="4"/>
        <w:rPr>
          <w:sz w:val="9"/>
        </w:rPr>
      </w:pPr>
    </w:p>
    <w:p>
      <w:pPr>
        <w:pStyle w:val="ListParagraph"/>
        <w:numPr>
          <w:ilvl w:val="1"/>
          <w:numId w:val="1"/>
        </w:numPr>
        <w:tabs>
          <w:tab w:pos="1070" w:val="left" w:leader="none"/>
        </w:tabs>
        <w:spacing w:line="240" w:lineRule="auto" w:before="97" w:after="0"/>
        <w:ind w:left="1069" w:right="0" w:hanging="270"/>
        <w:jc w:val="left"/>
        <w:rPr>
          <w:b/>
          <w:sz w:val="15"/>
        </w:rPr>
      </w:pPr>
      <w:r>
        <w:rPr>
          <w:b/>
          <w:sz w:val="15"/>
        </w:rPr>
        <w:t>Общий</w:t>
      </w:r>
      <w:r>
        <w:rPr>
          <w:b/>
          <w:spacing w:val="6"/>
          <w:sz w:val="15"/>
        </w:rPr>
        <w:t> </w:t>
      </w:r>
      <w:r>
        <w:rPr>
          <w:b/>
          <w:sz w:val="15"/>
        </w:rPr>
        <w:t>объем</w:t>
      </w:r>
      <w:r>
        <w:rPr>
          <w:b/>
          <w:spacing w:val="6"/>
          <w:sz w:val="15"/>
        </w:rPr>
        <w:t> </w:t>
      </w:r>
      <w:r>
        <w:rPr>
          <w:b/>
          <w:sz w:val="15"/>
        </w:rPr>
        <w:t>бюджетных</w:t>
      </w:r>
      <w:r>
        <w:rPr>
          <w:b/>
          <w:spacing w:val="6"/>
          <w:sz w:val="15"/>
        </w:rPr>
        <w:t> </w:t>
      </w:r>
      <w:r>
        <w:rPr>
          <w:b/>
          <w:sz w:val="15"/>
        </w:rPr>
        <w:t>ассигнований,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предусмотренных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на</w:t>
      </w:r>
      <w:r>
        <w:rPr>
          <w:b/>
          <w:spacing w:val="6"/>
          <w:sz w:val="15"/>
        </w:rPr>
        <w:t> </w:t>
      </w:r>
      <w:r>
        <w:rPr>
          <w:b/>
          <w:sz w:val="15"/>
        </w:rPr>
        <w:t>исполнение</w:t>
      </w:r>
      <w:r>
        <w:rPr>
          <w:b/>
          <w:spacing w:val="4"/>
          <w:sz w:val="15"/>
        </w:rPr>
        <w:t> </w:t>
      </w:r>
      <w:r>
        <w:rPr>
          <w:b/>
          <w:sz w:val="15"/>
        </w:rPr>
        <w:t>муниципальных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гарантий</w:t>
      </w:r>
      <w:r>
        <w:rPr>
          <w:b/>
          <w:spacing w:val="7"/>
          <w:sz w:val="15"/>
        </w:rPr>
        <w:t> </w:t>
      </w:r>
      <w:r>
        <w:rPr>
          <w:b/>
          <w:sz w:val="15"/>
        </w:rPr>
        <w:t>муниципального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образования</w:t>
      </w:r>
      <w:r>
        <w:rPr>
          <w:b/>
          <w:spacing w:val="13"/>
          <w:sz w:val="15"/>
        </w:rPr>
        <w:t> </w:t>
      </w:r>
      <w:r>
        <w:rPr>
          <w:b/>
          <w:sz w:val="15"/>
        </w:rPr>
        <w:t>по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возможным</w:t>
      </w:r>
      <w:r>
        <w:rPr>
          <w:b/>
          <w:spacing w:val="8"/>
          <w:sz w:val="15"/>
        </w:rPr>
        <w:t> </w:t>
      </w:r>
      <w:r>
        <w:rPr>
          <w:b/>
          <w:sz w:val="15"/>
        </w:rPr>
        <w:t>гарантийным</w:t>
      </w:r>
      <w:r>
        <w:rPr>
          <w:b/>
          <w:spacing w:val="7"/>
          <w:sz w:val="15"/>
        </w:rPr>
        <w:t> </w:t>
      </w:r>
      <w:r>
        <w:rPr>
          <w:b/>
          <w:sz w:val="15"/>
        </w:rPr>
        <w:t>случаям</w:t>
      </w:r>
      <w:r>
        <w:rPr>
          <w:b/>
          <w:spacing w:val="7"/>
          <w:sz w:val="15"/>
        </w:rPr>
        <w:t> </w:t>
      </w:r>
      <w:r>
        <w:rPr>
          <w:b/>
          <w:sz w:val="15"/>
        </w:rPr>
        <w:t>в</w:t>
      </w:r>
      <w:r>
        <w:rPr>
          <w:b/>
          <w:spacing w:val="6"/>
          <w:sz w:val="15"/>
        </w:rPr>
        <w:t> </w:t>
      </w:r>
      <w:r>
        <w:rPr>
          <w:b/>
          <w:sz w:val="15"/>
        </w:rPr>
        <w:t>2020</w:t>
      </w:r>
      <w:r>
        <w:rPr>
          <w:b/>
          <w:spacing w:val="6"/>
          <w:sz w:val="15"/>
        </w:rPr>
        <w:t> </w:t>
      </w:r>
      <w:r>
        <w:rPr>
          <w:b/>
          <w:sz w:val="15"/>
        </w:rPr>
        <w:t>году</w:t>
      </w:r>
    </w:p>
    <w:p>
      <w:pPr>
        <w:spacing w:line="240" w:lineRule="auto" w:before="0"/>
        <w:rPr>
          <w:b/>
          <w:sz w:val="11"/>
        </w:rPr>
      </w:pPr>
    </w:p>
    <w:p>
      <w:pPr>
        <w:spacing w:before="97" w:after="9"/>
        <w:ind w:left="0" w:right="147" w:firstLine="0"/>
        <w:jc w:val="right"/>
        <w:rPr>
          <w:sz w:val="15"/>
        </w:rPr>
      </w:pPr>
      <w:r>
        <w:rPr>
          <w:sz w:val="15"/>
        </w:rPr>
        <w:t>тыс. рублей</w:t>
      </w: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9"/>
        <w:gridCol w:w="6583"/>
      </w:tblGrid>
      <w:tr>
        <w:trPr>
          <w:trHeight w:val="661" w:hRule="atLeast"/>
        </w:trPr>
        <w:tc>
          <w:tcPr>
            <w:tcW w:w="7789" w:type="dxa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ind w:left="1520" w:right="151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Исполнение муниципальной гарантии муниципального образования</w:t>
            </w:r>
          </w:p>
        </w:tc>
        <w:tc>
          <w:tcPr>
            <w:tcW w:w="6583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266" w:lineRule="auto"/>
              <w:ind w:left="1507" w:hanging="1445"/>
              <w:rPr>
                <w:b/>
                <w:sz w:val="15"/>
              </w:rPr>
            </w:pPr>
            <w:r>
              <w:rPr>
                <w:b/>
                <w:sz w:val="15"/>
              </w:rPr>
              <w:t>Объем бюджетных ассигнований на исполнение муниципальных гарантий муниципального образования по возможным гарантийным случаям</w:t>
            </w:r>
          </w:p>
        </w:tc>
      </w:tr>
      <w:tr>
        <w:trPr>
          <w:trHeight w:val="247" w:hRule="atLeast"/>
        </w:trPr>
        <w:tc>
          <w:tcPr>
            <w:tcW w:w="7789" w:type="dxa"/>
          </w:tcPr>
          <w:p>
            <w:pPr>
              <w:pStyle w:val="TableParagraph"/>
              <w:spacing w:before="33"/>
              <w:ind w:left="11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  <w:tc>
          <w:tcPr>
            <w:tcW w:w="6583" w:type="dxa"/>
          </w:tcPr>
          <w:p>
            <w:pPr>
              <w:pStyle w:val="TableParagraph"/>
              <w:spacing w:before="33"/>
              <w:ind w:left="13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2</w:t>
            </w:r>
          </w:p>
        </w:tc>
      </w:tr>
      <w:tr>
        <w:trPr>
          <w:trHeight w:val="285" w:hRule="atLeast"/>
        </w:trPr>
        <w:tc>
          <w:tcPr>
            <w:tcW w:w="7789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z w:val="15"/>
              </w:rPr>
              <w:t>за счет источников внутреннего финансирования дефицита бюджета района</w:t>
            </w:r>
          </w:p>
        </w:tc>
        <w:tc>
          <w:tcPr>
            <w:tcW w:w="6583" w:type="dxa"/>
          </w:tcPr>
          <w:p>
            <w:pPr>
              <w:pStyle w:val="TableParagraph"/>
              <w:spacing w:before="47"/>
              <w:ind w:left="3073" w:right="3046"/>
              <w:jc w:val="center"/>
              <w:rPr>
                <w:sz w:val="15"/>
              </w:rPr>
            </w:pPr>
            <w:r>
              <w:rPr>
                <w:sz w:val="15"/>
              </w:rPr>
              <w:t>64 000</w:t>
            </w:r>
          </w:p>
        </w:tc>
      </w:tr>
      <w:tr>
        <w:trPr>
          <w:trHeight w:val="364" w:hRule="atLeast"/>
        </w:trPr>
        <w:tc>
          <w:tcPr>
            <w:tcW w:w="7789" w:type="dxa"/>
          </w:tcPr>
          <w:p>
            <w:pPr>
              <w:pStyle w:val="TableParagraph"/>
              <w:spacing w:before="90"/>
              <w:ind w:left="28"/>
              <w:rPr>
                <w:sz w:val="15"/>
              </w:rPr>
            </w:pPr>
            <w:r>
              <w:rPr>
                <w:sz w:val="15"/>
              </w:rPr>
              <w:t>за счет расходов бюджета района</w:t>
            </w:r>
          </w:p>
        </w:tc>
        <w:tc>
          <w:tcPr>
            <w:tcW w:w="6583" w:type="dxa"/>
          </w:tcPr>
          <w:p>
            <w:pPr>
              <w:pStyle w:val="TableParagraph"/>
              <w:spacing w:before="90"/>
              <w:ind w:left="1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0</w:t>
            </w:r>
          </w:p>
        </w:tc>
      </w:tr>
    </w:tbl>
    <w:sectPr>
      <w:type w:val="continuous"/>
      <w:pgSz w:w="16840" w:h="11910" w:orient="landscape"/>
      <w:pgMar w:top="1100" w:bottom="280" w:left="110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27" w:hanging="154"/>
        <w:jc w:val="left"/>
      </w:pPr>
      <w:rPr>
        <w:rFonts w:hint="default" w:ascii="Times New Roman" w:hAnsi="Times New Roman" w:eastAsia="Times New Roman" w:cs="Times New Roman"/>
        <w:w w:val="102"/>
        <w:sz w:val="15"/>
        <w:szCs w:val="15"/>
        <w:lang w:val="ru-RU" w:eastAsia="ru-RU" w:bidi="ru-RU"/>
      </w:rPr>
    </w:lvl>
    <w:lvl w:ilvl="1">
      <w:start w:val="0"/>
      <w:numFmt w:val="bullet"/>
      <w:lvlText w:val="•"/>
      <w:lvlJc w:val="left"/>
      <w:pPr>
        <w:ind w:left="571" w:hanging="154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1122" w:hanging="154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1673" w:hanging="154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2225" w:hanging="154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2776" w:hanging="154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3327" w:hanging="154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3879" w:hanging="154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4430" w:hanging="154"/>
      </w:pPr>
      <w:rPr>
        <w:rFonts w:hint="default"/>
        <w:lang w:val="ru-RU" w:eastAsia="ru-RU" w:bidi="ru-RU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27" w:hanging="154"/>
        <w:jc w:val="left"/>
      </w:pPr>
      <w:rPr>
        <w:rFonts w:hint="default" w:ascii="Times New Roman" w:hAnsi="Times New Roman" w:eastAsia="Times New Roman" w:cs="Times New Roman"/>
        <w:w w:val="102"/>
        <w:sz w:val="15"/>
        <w:szCs w:val="15"/>
        <w:lang w:val="ru-RU" w:eastAsia="ru-RU" w:bidi="ru-RU"/>
      </w:rPr>
    </w:lvl>
    <w:lvl w:ilvl="1">
      <w:start w:val="0"/>
      <w:numFmt w:val="bullet"/>
      <w:lvlText w:val="•"/>
      <w:lvlJc w:val="left"/>
      <w:pPr>
        <w:ind w:left="571" w:hanging="154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1122" w:hanging="154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1673" w:hanging="154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2225" w:hanging="154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2776" w:hanging="154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3327" w:hanging="154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3879" w:hanging="154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4430" w:hanging="154"/>
      </w:pPr>
      <w:rPr>
        <w:rFonts w:hint="default"/>
        <w:lang w:val="ru-RU" w:eastAsia="ru-RU" w:bidi="ru-RU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4000" w:hanging="269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000" w:hanging="269"/>
        <w:jc w:val="right"/>
      </w:pPr>
      <w:rPr>
        <w:rFonts w:hint="default" w:ascii="Times New Roman" w:hAnsi="Times New Roman" w:eastAsia="Times New Roman" w:cs="Times New Roman"/>
        <w:b/>
        <w:bCs/>
        <w:w w:val="102"/>
        <w:sz w:val="15"/>
        <w:szCs w:val="15"/>
        <w:lang w:val="ru-RU" w:eastAsia="ru-RU" w:bidi="ru-RU"/>
      </w:rPr>
    </w:lvl>
    <w:lvl w:ilvl="2">
      <w:start w:val="0"/>
      <w:numFmt w:val="bullet"/>
      <w:lvlText w:val="•"/>
      <w:lvlJc w:val="left"/>
      <w:pPr>
        <w:ind w:left="5461" w:hanging="269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6191" w:hanging="269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6922" w:hanging="269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7652" w:hanging="269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8383" w:hanging="269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9113" w:hanging="269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9844" w:hanging="269"/>
      </w:pPr>
      <w:rPr>
        <w:rFonts w:hint="default"/>
        <w:lang w:val="ru-RU" w:eastAsia="ru-RU" w:bidi="ru-RU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15"/>
      <w:szCs w:val="15"/>
      <w:lang w:val="ru-RU" w:eastAsia="ru-RU" w:bidi="ru-RU"/>
    </w:rPr>
  </w:style>
  <w:style w:styleId="ListParagraph" w:type="paragraph">
    <w:name w:val="List Paragraph"/>
    <w:basedOn w:val="Normal"/>
    <w:uiPriority w:val="1"/>
    <w:qFormat/>
    <w:pPr>
      <w:spacing w:before="91"/>
      <w:ind w:left="1069" w:hanging="270"/>
    </w:pPr>
    <w:rPr>
      <w:rFonts w:ascii="Times New Roman" w:hAnsi="Times New Roman" w:eastAsia="Times New Roman" w:cs="Times New Roman"/>
      <w:lang w:val="ru-RU" w:eastAsia="ru-RU" w:bidi="ru-RU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dcterms:created xsi:type="dcterms:W3CDTF">2019-12-05T10:42:53Z</dcterms:created>
  <dcterms:modified xsi:type="dcterms:W3CDTF">2019-12-05T10:42:53Z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2019-12-05T00:00:00Z</vt:filetime>
  </property>
</Properties>
</file>