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/>
        <w:pageBreakBefore/>
        <w:spacing w:after="0" w:line="360" w:lineRule="auto"/>
        <w:ind w:left="9639"/>
        <w:outlineLvl w:val="0"/>
        <w:rPr>
          <w:rFonts w:ascii="PT Astra Serif" w:eastAsia="Times New Roman" w:hAnsi="PT Astra Serif" w:cs="Tahoma"/>
          <w:bCs/>
          <w:kern w:val="32"/>
          <w:sz w:val="28"/>
          <w:szCs w:val="28"/>
          <w:lang w:eastAsia="x-none"/>
        </w:rPr>
      </w:pPr>
      <w:bookmarkStart w:id="0" w:name="_Toc63761226"/>
      <w:bookmarkStart w:id="1" w:name="_Toc506998598"/>
      <w:bookmarkStart w:id="2" w:name="_Toc507061395"/>
      <w:bookmarkStart w:id="3" w:name="_Toc507061462"/>
      <w:r>
        <w:rPr>
          <w:rFonts w:ascii="PT Astra Serif" w:eastAsia="Times New Roman" w:hAnsi="PT Astra Serif" w:cs="Tahoma"/>
          <w:bCs/>
          <w:kern w:val="32"/>
          <w:sz w:val="28"/>
          <w:szCs w:val="28"/>
          <w:lang w:eastAsia="x-none"/>
        </w:rPr>
        <w:t>Приложение № 2</w:t>
      </w:r>
    </w:p>
    <w:p>
      <w:pPr>
        <w:spacing w:after="0" w:line="240" w:lineRule="auto"/>
        <w:ind w:left="9639"/>
        <w:rPr>
          <w:rFonts w:ascii="PT Astra Serif" w:eastAsia="Times New Roman" w:hAnsi="PT Astra Serif" w:cs="Tahoma"/>
          <w:sz w:val="28"/>
          <w:szCs w:val="28"/>
          <w:lang w:eastAsia="x-none"/>
        </w:rPr>
      </w:pPr>
      <w:r>
        <w:rPr>
          <w:rFonts w:ascii="PT Astra Serif" w:eastAsia="Times New Roman" w:hAnsi="PT Astra Serif" w:cs="Tahoma"/>
          <w:sz w:val="28"/>
          <w:szCs w:val="28"/>
          <w:lang w:eastAsia="x-none"/>
        </w:rPr>
        <w:t>УТВЕРЖДЕНЫ</w:t>
      </w:r>
    </w:p>
    <w:p>
      <w:pPr>
        <w:spacing w:after="0" w:line="240" w:lineRule="auto"/>
        <w:ind w:left="9639"/>
        <w:rPr>
          <w:rFonts w:ascii="PT Astra Serif" w:eastAsia="Times New Roman" w:hAnsi="PT Astra Serif" w:cs="Tahoma"/>
          <w:sz w:val="28"/>
          <w:szCs w:val="28"/>
          <w:lang w:eastAsia="x-none"/>
        </w:rPr>
      </w:pPr>
      <w:r>
        <w:rPr>
          <w:rFonts w:ascii="PT Astra Serif" w:eastAsia="Times New Roman" w:hAnsi="PT Astra Serif" w:cs="Tahoma"/>
          <w:sz w:val="28"/>
          <w:szCs w:val="28"/>
          <w:lang w:eastAsia="x-none"/>
        </w:rPr>
        <w:t xml:space="preserve">постановлением </w:t>
      </w:r>
    </w:p>
    <w:p>
      <w:pPr>
        <w:spacing w:after="0" w:line="240" w:lineRule="auto"/>
        <w:ind w:left="9639"/>
        <w:rPr>
          <w:rFonts w:ascii="PT Astra Serif" w:eastAsia="Times New Roman" w:hAnsi="PT Astra Serif" w:cs="Tahoma"/>
          <w:sz w:val="28"/>
          <w:szCs w:val="28"/>
          <w:lang w:eastAsia="x-none"/>
        </w:rPr>
      </w:pPr>
      <w:r>
        <w:rPr>
          <w:rFonts w:ascii="PT Astra Serif" w:eastAsia="Times New Roman" w:hAnsi="PT Astra Serif" w:cs="Tahoma"/>
          <w:sz w:val="28"/>
          <w:szCs w:val="28"/>
          <w:lang w:eastAsia="x-none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eastAsia="Times New Roman" w:hAnsi="PT Astra Serif" w:cs="Tahoma"/>
          <w:sz w:val="28"/>
          <w:szCs w:val="28"/>
          <w:lang w:eastAsia="x-none"/>
        </w:rPr>
      </w:pPr>
      <w:r>
        <w:rPr>
          <w:rFonts w:ascii="PT Astra Serif" w:eastAsia="Times New Roman" w:hAnsi="PT Astra Serif" w:cs="Tahoma"/>
          <w:sz w:val="28"/>
          <w:szCs w:val="28"/>
          <w:lang w:eastAsia="x-none"/>
        </w:rPr>
        <w:t>от 11 февраля 2021 года № 87-п</w:t>
      </w:r>
      <w:bookmarkStart w:id="4" w:name="_GoBack"/>
      <w:bookmarkEnd w:id="4"/>
    </w:p>
    <w:p>
      <w:pPr>
        <w:spacing w:after="0" w:line="240" w:lineRule="auto"/>
        <w:rPr>
          <w:rFonts w:ascii="PT Astra Serif" w:eastAsia="Times New Roman" w:hAnsi="PT Astra Serif" w:cs="Tahoma"/>
          <w:sz w:val="28"/>
          <w:szCs w:val="28"/>
          <w:lang w:eastAsia="x-none"/>
        </w:rPr>
      </w:pPr>
    </w:p>
    <w:p>
      <w:pPr>
        <w:spacing w:after="0" w:line="240" w:lineRule="auto"/>
        <w:rPr>
          <w:rFonts w:ascii="PT Astra Serif" w:eastAsia="Times New Roman" w:hAnsi="PT Astra Serif" w:cs="Tahoma"/>
          <w:sz w:val="28"/>
          <w:szCs w:val="28"/>
          <w:lang w:eastAsia="x-none"/>
        </w:rPr>
      </w:pPr>
    </w:p>
    <w:p>
      <w:pPr>
        <w:spacing w:after="0" w:line="240" w:lineRule="auto"/>
        <w:rPr>
          <w:rFonts w:ascii="PT Astra Serif" w:eastAsia="Times New Roman" w:hAnsi="PT Astra Serif" w:cs="Tahoma"/>
          <w:sz w:val="28"/>
          <w:szCs w:val="28"/>
          <w:lang w:eastAsia="x-none"/>
        </w:rPr>
      </w:pPr>
    </w:p>
    <w:p>
      <w:pPr>
        <w:tabs>
          <w:tab w:val="left" w:pos="4253"/>
        </w:tabs>
        <w:spacing w:after="0" w:line="240" w:lineRule="auto"/>
        <w:jc w:val="center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ГРАДОСТРОИТЕЛЬНЫЕ РЕГЛАМЕНТЫ</w:t>
      </w:r>
    </w:p>
    <w:p>
      <w:pPr>
        <w:tabs>
          <w:tab w:val="left" w:pos="4253"/>
        </w:tabs>
        <w:spacing w:after="0" w:line="240" w:lineRule="auto"/>
        <w:jc w:val="center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</w:p>
    <w:p>
      <w:pPr>
        <w:tabs>
          <w:tab w:val="left" w:pos="4253"/>
        </w:tabs>
        <w:spacing w:after="0" w:line="240" w:lineRule="auto"/>
        <w:jc w:val="center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</w:p>
    <w:p>
      <w:pPr>
        <w:pStyle w:val="af1"/>
        <w:numPr>
          <w:ilvl w:val="0"/>
          <w:numId w:val="17"/>
        </w:numPr>
        <w:tabs>
          <w:tab w:val="left" w:pos="3818"/>
        </w:tabs>
        <w:spacing w:before="0" w:after="0"/>
        <w:jc w:val="center"/>
        <w:rPr>
          <w:rFonts w:ascii="PT Astra Serif" w:hAnsi="PT Astra Serif"/>
          <w:b/>
          <w:i w:val="0"/>
          <w:kern w:val="32"/>
          <w:sz w:val="28"/>
          <w:szCs w:val="28"/>
          <w:lang w:eastAsia="x-none"/>
        </w:rPr>
      </w:pPr>
      <w:r>
        <w:rPr>
          <w:rFonts w:ascii="PT Astra Serif" w:hAnsi="PT Astra Serif"/>
          <w:b/>
          <w:i w:val="0"/>
          <w:kern w:val="32"/>
          <w:sz w:val="28"/>
          <w:szCs w:val="28"/>
          <w:lang w:eastAsia="x-none"/>
        </w:rPr>
        <w:t>ЗОНА ЗАСТРОЙКИ ИНДИВИДУАЛЬНЫМИ ЖИЛЫМИ ДОМАМИ Ж-1</w:t>
      </w:r>
      <w:bookmarkEnd w:id="0"/>
    </w:p>
    <w:p>
      <w:pPr>
        <w:tabs>
          <w:tab w:val="left" w:pos="3818"/>
        </w:tabs>
        <w:spacing w:after="0" w:line="240" w:lineRule="auto"/>
        <w:jc w:val="center"/>
        <w:rPr>
          <w:rFonts w:ascii="PT Astra Serif" w:hAnsi="PT Astra Serif"/>
          <w:b/>
          <w:kern w:val="32"/>
          <w:sz w:val="28"/>
          <w:szCs w:val="28"/>
          <w:lang w:eastAsia="x-none"/>
        </w:rPr>
      </w:pPr>
    </w:p>
    <w:p>
      <w:pPr>
        <w:tabs>
          <w:tab w:val="left" w:pos="3818"/>
        </w:tabs>
        <w:spacing w:after="0" w:line="240" w:lineRule="auto"/>
        <w:jc w:val="center"/>
        <w:rPr>
          <w:rFonts w:ascii="PT Astra Serif" w:hAnsi="PT Astra Serif"/>
          <w:b/>
          <w:kern w:val="32"/>
          <w:sz w:val="28"/>
          <w:szCs w:val="28"/>
          <w:lang w:eastAsia="x-none"/>
        </w:rPr>
      </w:pPr>
    </w:p>
    <w:p>
      <w:pPr>
        <w:keepNext/>
        <w:spacing w:after="0" w:line="240" w:lineRule="auto"/>
        <w:ind w:right="252"/>
        <w:outlineLvl w:val="1"/>
        <w:rPr>
          <w:rFonts w:ascii="PT Astra Serif" w:eastAsia="Times New Roman" w:hAnsi="PT Astra Serif" w:cs="Tahoma"/>
          <w:bCs/>
          <w:iCs/>
          <w:sz w:val="28"/>
          <w:szCs w:val="28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8"/>
          <w:szCs w:val="28"/>
          <w:lang w:eastAsia="ru-RU"/>
        </w:rPr>
        <w:t xml:space="preserve">ОСНОВНЫЕ ВИДЫ И ПАРАМЕТРЫ РАЗРЕШЕННОГО ИСПОЛЬЗОВАНИЯ ЗЕМЕЛЬНЫХ УЧАСТКОВ </w:t>
      </w:r>
    </w:p>
    <w:p>
      <w:pPr>
        <w:keepNext/>
        <w:spacing w:after="0" w:line="240" w:lineRule="auto"/>
        <w:ind w:right="252"/>
        <w:outlineLvl w:val="1"/>
        <w:rPr>
          <w:rFonts w:ascii="PT Astra Serif" w:eastAsia="Times New Roman" w:hAnsi="PT Astra Serif" w:cs="Tahoma"/>
          <w:bCs/>
          <w:iCs/>
          <w:sz w:val="28"/>
          <w:szCs w:val="28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8"/>
          <w:szCs w:val="28"/>
          <w:lang w:eastAsia="ru-RU"/>
        </w:rPr>
        <w:t>И ОБЪЕКТОВ КАПИТАЛЬНОГО СТРОИТЕЛЬСТВА</w:t>
      </w:r>
    </w:p>
    <w:p>
      <w:pPr>
        <w:keepNext/>
        <w:spacing w:after="0" w:line="240" w:lineRule="auto"/>
        <w:ind w:right="252"/>
        <w:jc w:val="center"/>
        <w:outlineLvl w:val="1"/>
        <w:rPr>
          <w:rFonts w:ascii="PT Astra Serif" w:eastAsia="Times New Roman" w:hAnsi="PT Astra Serif" w:cs="Tahoma"/>
          <w:bCs/>
          <w:iCs/>
          <w:sz w:val="28"/>
          <w:szCs w:val="24"/>
          <w:lang w:eastAsia="ru-RU"/>
        </w:rPr>
      </w:pPr>
    </w:p>
    <w:p>
      <w:pPr>
        <w:keepNext/>
        <w:spacing w:after="0" w:line="240" w:lineRule="auto"/>
        <w:ind w:right="252"/>
        <w:jc w:val="center"/>
        <w:outlineLvl w:val="1"/>
        <w:rPr>
          <w:rFonts w:ascii="PT Astra Serif" w:eastAsia="Times New Roman" w:hAnsi="PT Astra Serif" w:cs="Tahoma"/>
          <w:bCs/>
          <w:iCs/>
          <w:sz w:val="2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Для индивидуального жилищного строительства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2.1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>
              <w:rPr>
                <w:rFonts w:ascii="PT Astra Serif" w:hAnsi="PT Astra Serif" w:cs="Tahoma"/>
              </w:rPr>
              <w:t xml:space="preserve">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 xml:space="preserve">минимальный – </w:t>
            </w:r>
            <w:r>
              <w:rPr>
                <w:rFonts w:ascii="PT Astra Serif" w:hAnsi="PT Astra Serif"/>
                <w:i w:val="0"/>
                <w:sz w:val="22"/>
                <w:szCs w:val="22"/>
              </w:rPr>
              <w:t>400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lastRenderedPageBreak/>
              <w:t xml:space="preserve">максимальный – </w:t>
            </w:r>
            <w:r>
              <w:rPr>
                <w:rFonts w:ascii="PT Astra Serif" w:hAnsi="PT Astra Serif"/>
                <w:i w:val="0"/>
                <w:sz w:val="22"/>
                <w:szCs w:val="22"/>
              </w:rPr>
              <w:t>2000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Малоэтажная многоквартирная жилая застройка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2.1.1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4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0 м в случае размещения на смежном участке пристроенного здания.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участков- не менее 1400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Блокированная жилая застройка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2.3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0 м со стороны общей стены с соседним жилым домом.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минимальный – 100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максимальный – 800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минимальный – 300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максимальный – 2000 кв. м.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Ведение огородничества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13.1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lastRenderedPageBreak/>
              <w:t>минимальный – 200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максимальный – 2000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40%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Оказание услуг связи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 – поликлиническое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Дошкольное, начальное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среднее общее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3.5.1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–5м.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дошкольные образовательные организации – не менее 1750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общеобразовательные организации – не менее 10000 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организации дополнительного образования – не менее 300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спортивные сооружения - не менее 100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Амбулаторное ветеринарное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>
              <w:rPr>
                <w:rFonts w:ascii="PT Astra Serif" w:eastAsia="Times New Roman" w:hAnsi="PT Astra Serif" w:cs="Tahoma"/>
                <w:lang w:eastAsia="ru-RU"/>
              </w:rPr>
              <w:lastRenderedPageBreak/>
              <w:t>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 xml:space="preserve">Размеры земельных участков – не менее 100 кв. м. 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eastAsia="Calibri" w:hAnsi="PT Astra Serif" w:cs="Tahoma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Объекты культурно-досуговой деятельности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3.6.1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Государственное управление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3.8.1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4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Деловое управление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4.1</w:t>
            </w:r>
          </w:p>
        </w:tc>
        <w:tc>
          <w:tcPr>
            <w:tcW w:w="10206" w:type="dxa"/>
            <w:vMerge/>
          </w:tcPr>
          <w:p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Банковская и страховая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4.5</w:t>
            </w:r>
          </w:p>
        </w:tc>
        <w:tc>
          <w:tcPr>
            <w:tcW w:w="10206" w:type="dxa"/>
            <w:vMerge/>
          </w:tcPr>
          <w:p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Гостиничное обслуживание 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4.7</w:t>
            </w:r>
          </w:p>
        </w:tc>
        <w:tc>
          <w:tcPr>
            <w:tcW w:w="10206" w:type="dxa"/>
            <w:vMerge/>
          </w:tcPr>
          <w:p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11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Прибрежная защитная полоса  (89:06-6.234)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12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 (89:06-6.269)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pStyle w:val="af1"/>
        <w:pageBreakBefore/>
        <w:numPr>
          <w:ilvl w:val="0"/>
          <w:numId w:val="17"/>
        </w:numPr>
        <w:tabs>
          <w:tab w:val="left" w:pos="0"/>
        </w:tabs>
        <w:spacing w:before="0" w:after="0"/>
        <w:ind w:left="0" w:firstLine="0"/>
        <w:jc w:val="center"/>
        <w:outlineLvl w:val="0"/>
        <w:rPr>
          <w:rFonts w:ascii="PT Astra Serif" w:hAnsi="PT Astra Serif"/>
          <w:b/>
          <w:i w:val="0"/>
          <w:kern w:val="32"/>
          <w:sz w:val="28"/>
          <w:szCs w:val="28"/>
          <w:lang w:eastAsia="x-none"/>
        </w:rPr>
      </w:pPr>
      <w:bookmarkStart w:id="5" w:name="_Toc63761227"/>
      <w:r>
        <w:rPr>
          <w:rFonts w:ascii="PT Astra Serif" w:hAnsi="PT Astra Serif"/>
          <w:b/>
          <w:i w:val="0"/>
          <w:kern w:val="32"/>
          <w:sz w:val="28"/>
          <w:szCs w:val="28"/>
          <w:lang w:eastAsia="x-none"/>
        </w:rPr>
        <w:lastRenderedPageBreak/>
        <w:t xml:space="preserve">ЗОНА ЗАСТРОЙКИ МАЛОЭТАЖНЫМИ ЖИЛЫМИ ДОМАМИ </w:t>
      </w:r>
      <w:r>
        <w:rPr>
          <w:rFonts w:ascii="PT Astra Serif" w:hAnsi="PT Astra Serif"/>
          <w:b/>
          <w:i w:val="0"/>
          <w:kern w:val="32"/>
          <w:sz w:val="28"/>
          <w:szCs w:val="28"/>
          <w:lang w:eastAsia="x-none"/>
        </w:rPr>
        <w:br/>
        <w:t>(ДО 4 ЭТАЖЕЙ, ВКЛЮЧАЯ МАНСАРДНЫЙ) Ж-2</w:t>
      </w:r>
      <w:bookmarkEnd w:id="5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Малоэтажная многоквартирная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жилая застройка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2.1.1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4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0 м в случае размещения на смежном участке пристроенного здания.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участков- не менее 1400 кв.м.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Блокированная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жилая застройка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</w:t>
            </w:r>
            <w:r>
              <w:rPr>
                <w:rFonts w:ascii="PT Astra Serif" w:hAnsi="PT Astra Serif" w:cs="Tahoma"/>
                <w:lang w:val="en-US"/>
              </w:rPr>
              <w:t>3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0 м со стороны общей стены с соседним жилым домом.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минимальный – 100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максимальный – 800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Общежития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3.2.4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9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lastRenderedPageBreak/>
              <w:t>Размеры земельных участков – не менее 1000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Ведение огородничества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13.1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минимальный – 200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максимальный – 2000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40%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услуг связи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 – поликлиническое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Дошкольное, начальное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среднее общее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3.5.1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дошкольные образовательные организации – не менее 1750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общеобразовательные организации – не менее 10000 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организации дополнительного образования – не менее 300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спортивные сооружения - не менее 100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Максимальный процент застройки в границах земельного участка – </w:t>
            </w:r>
            <w:r>
              <w:rPr>
                <w:rFonts w:ascii="PT Astra Serif" w:hAnsi="PT Astra Serif" w:cs="Tahoma"/>
                <w:lang w:eastAsia="ru-RU"/>
              </w:rPr>
              <w:t>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Минимальные отступы от границ земельных участков в целях определения мест допустимого </w:t>
            </w:r>
            <w:r>
              <w:rPr>
                <w:rFonts w:ascii="PT Astra Serif" w:eastAsia="Times New Roman" w:hAnsi="PT Astra Serif" w:cs="Tahoma"/>
                <w:lang w:eastAsia="ru-RU"/>
              </w:rPr>
              <w:lastRenderedPageBreak/>
              <w:t>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социальной помощи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Минимальный отступ от границ земельных участков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Размеры земельных участков – не менее 500 </w:t>
            </w:r>
            <w:r>
              <w:rPr>
                <w:rFonts w:ascii="PT Astra Serif" w:eastAsia="Times New Roman" w:hAnsi="PT Astra Serif" w:cs="Tahoma"/>
                <w:lang w:eastAsia="ru-RU"/>
              </w:rPr>
              <w:t>кв. м</w:t>
            </w:r>
            <w:r>
              <w:rPr>
                <w:rFonts w:ascii="PT Astra Serif" w:hAnsi="PT Astra Serif" w:cs="Tahoma"/>
              </w:rPr>
              <w:t>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надземный этаж.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lastRenderedPageBreak/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eastAsia="Calibri" w:hAnsi="PT Astra Serif" w:cs="Tahoma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отдельно стоящих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 случае размещения на смежном участке пристроенного здания – 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40 кв. м на 1 машино-место для гаражей.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lastRenderedPageBreak/>
              <w:t>Объекты культурно-досуговой деятельности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3.6.1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Амбулаторное ветеринарное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Государственное управление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3.8.1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Деловое управление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4.1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Банковская и страховая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4.5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Гостиничное обслуживание </w:t>
            </w:r>
          </w:p>
        </w:tc>
        <w:tc>
          <w:tcPr>
            <w:tcW w:w="1984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Calibri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  <w:lang w:eastAsia="ru-RU"/>
              </w:rPr>
              <w:t>4.7</w:t>
            </w:r>
          </w:p>
        </w:tc>
        <w:tc>
          <w:tcPr>
            <w:tcW w:w="10206" w:type="dxa"/>
            <w:vMerge/>
          </w:tcPr>
          <w:p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13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(89:06-6.70)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14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6" w:name="_Toc63761228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МНОГОФУНКЦИНАЛЬНАЯ ОБЩЕСТВЕННО-ДЕЛОВАЯ ЗОНА ОД-1</w:t>
      </w:r>
      <w:bookmarkEnd w:id="6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Дома социального обслуживания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социальной помощи населению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3.2.2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услуг связи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3.2.3</w:t>
            </w:r>
          </w:p>
        </w:tc>
        <w:tc>
          <w:tcPr>
            <w:tcW w:w="10206" w:type="dxa"/>
            <w:vMerge w:val="restart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3.3</w:t>
            </w:r>
          </w:p>
        </w:tc>
        <w:tc>
          <w:tcPr>
            <w:tcW w:w="10206" w:type="dxa"/>
            <w:vMerge/>
            <w:tcBorders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Амбулаторно-поликлиническое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Стационарное медицинское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Дошкольное, начальное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среднее общее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3.5.1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дошкольные образовательные организации – не менее 1750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общеобразовательные организации – не менее 10000 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организации дополнительного образования – не менее 300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спортивные сооружения -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Максимальный процент застройки в границах земельного участка – </w:t>
            </w:r>
            <w:r>
              <w:rPr>
                <w:rFonts w:ascii="PT Astra Serif" w:hAnsi="PT Astra Serif" w:cs="Tahoma"/>
                <w:lang w:eastAsia="ru-RU"/>
              </w:rPr>
              <w:t>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Среднее и высшее профессиональное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3.5.2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4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Объекты культурно-досуговой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3.6.1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Парки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3.6.2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Этажность – до 2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Минимальный отступ от границ земельного участка - 3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20%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Предельные (минимальные и (или) максимальные) размеры земельных участков 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Развлекательные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4.8.1</w:t>
            </w:r>
          </w:p>
        </w:tc>
        <w:tc>
          <w:tcPr>
            <w:tcW w:w="102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азартных игр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4.8.2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Государственное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3.8.1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Деловое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Этажность - до 3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Минимальный отступ от границ земельных участков - 3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Банковская и страховая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Гостиничное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спортивно-зрелищных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17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eastAsia="Calibri" w:hAnsi="PT Astra Serif" w:cs="Tahoma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отдельно стоящих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 случае размещения на смежном участке пристроенного здания – 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40 кв. м на 1 машино-место для гаражей.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15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16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7" w:name="_Toc63761229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ДЕЛОВОГО, ОБЩЕСТВЕННОГО И КОММЕРЧЕСКОГО НАЗНАЧЕНИЯ ОД-2</w:t>
      </w:r>
      <w:bookmarkEnd w:id="7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Дома социального обслуживания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социальной помощи населению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3.2.2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услуг связи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3.2.3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Амбулаторно-поликлиническое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Стационарное медицинское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Развлекательные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4.8.1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азартных игр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4.8.2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Государственное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3.8.1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Деловое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деятельности в области гидрометеорологии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смежных с ней областях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испытаний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Амбулаторное ветеринарное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Приюты для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Рынки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4.3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both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pStyle w:val="ConsPlusNormal"/>
              <w:jc w:val="both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Выставочно-ярмарочная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Банковская и страховая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both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jc w:val="both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Гостиничное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отдельно стоящих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 случае размещения на смежном участке пристроенного здания – 0 м.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Заправка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65%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дорожного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Автомобильные мойки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Ремонт автомобилей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П</w:t>
            </w:r>
            <w:r>
              <w:rPr>
                <w:rFonts w:ascii="PT Astra Serif" w:eastAsia="Times New Roman" w:hAnsi="PT Astra Serif" w:cs="Tahoma"/>
                <w:lang w:eastAsia="ru-RU"/>
              </w:rPr>
              <w:t>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Научно-производственная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6.12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 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</w:rPr>
      </w:pP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17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(89:06-6.165)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18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(89:06-6.222)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8" w:name="_Toc63761230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ДОШКОЛЬНОГО, НАЧАЛЬНОГО И СРЕДНЕГО ОБЩЕГО ОБРАЗОВАНИЯ ОД-4</w:t>
      </w:r>
      <w:bookmarkEnd w:id="8"/>
    </w:p>
    <w:bookmarkEnd w:id="1"/>
    <w:bookmarkEnd w:id="2"/>
    <w:bookmarkEnd w:id="3"/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Дошкольное, начальное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среднее общее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3.5.1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дошкольные образовательные организации – не менее 1750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общеобразовательные организации – не менее 10000 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организации дополнительного образования – не менее 300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спортивные сооружения -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Максимальный процент застройки в границах земельного участка – </w:t>
            </w:r>
            <w:r>
              <w:rPr>
                <w:rFonts w:ascii="PT Astra Serif" w:hAnsi="PT Astra Serif" w:cs="Tahoma"/>
                <w:lang w:eastAsia="ru-RU"/>
              </w:rPr>
              <w:t>60%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8) разведка и добыча общераспространенных полезных ископаемых  (за исключением случаев,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19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9" w:name="_Toc63761231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ЗДРАВООХРАНЕНИЯ ОД-5</w:t>
      </w:r>
      <w:bookmarkEnd w:id="9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Амбулаторно-поликлиническое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Стационарное медицинское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50%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Медицинские организации особого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3.4.3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Дома социального обслуживания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социальной помощи населению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3.2.2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Санаторная деятельность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9.2.1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5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30%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Размеры земельных участков не подлежат </w:t>
            </w:r>
            <w:r>
              <w:rPr>
                <w:rFonts w:ascii="PT Astra Serif" w:eastAsia="Times New Roman" w:hAnsi="PT Astra Serif" w:cs="Tahoma"/>
                <w:lang w:eastAsia="ru-RU"/>
              </w:rPr>
              <w:t>установлению</w:t>
            </w:r>
            <w:r>
              <w:rPr>
                <w:rFonts w:ascii="PT Astra Serif" w:hAnsi="PT Astra Serif" w:cs="Tahoma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0" w:name="_Toc63761232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СОЦИАЛЬНОГО НАЗНАЧЕНИЯ ОД-8</w:t>
      </w:r>
      <w:bookmarkEnd w:id="10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Социальное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Дома социального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Этажность - до 3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- 75%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Минимальный отступ от границ земельного участка - 3 м.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Оказание социальной помощи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Этажность - до 2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- не устанавливается.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Минимальный отступ от границ земельного участка для объектов капитального строительства - 3 м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1" w:name="_Toc63761233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КУЛЬТОВЫХ ЗДАНИЙ И СООРУЖЕНИЙ ОД-9</w:t>
      </w:r>
      <w:bookmarkEnd w:id="11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Осуществление религиозных обрядов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3.7.1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Предельная максимальная высота здания – 30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Религиозное управление и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3.7.2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2" w:name="_Toc63761234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ПРОИЗВОДСТВЕННАЯ ЗОНА П-1</w:t>
      </w:r>
      <w:bookmarkEnd w:id="12"/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Производственная деятельность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6.0</w:t>
            </w:r>
          </w:p>
        </w:tc>
        <w:tc>
          <w:tcPr>
            <w:tcW w:w="10206" w:type="dxa"/>
            <w:vMerge w:val="restart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 – II класса опасности – 70%;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III класса опасности – 75%;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IV, V класса опасности – 80%.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Недропользование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Тяжелая промышленность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Автомобилестроительная промышленность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6.2.1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Легкая промышленность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6.3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Фармацевтическая промышленность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6.3.1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Пищевая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6.4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Нефтехимическая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6.5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Строительная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6.6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Целлюлозно-бумажная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6.11</w:t>
            </w:r>
          </w:p>
        </w:tc>
        <w:tc>
          <w:tcPr>
            <w:tcW w:w="10206" w:type="dxa"/>
            <w:vMerge/>
            <w:tcBorders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Связь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антенно-мачтовых сооружений – не менее 3000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90%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Водный транспорт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Хранение и переработка сельскохозяйственной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зданиями, строениями, сооружениями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Научно-производственная деятельность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6.12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6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Деловое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4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деятельности в области гидрометеорологии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смежных с ней областях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испытаний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отдельно стоящих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 случае размещения на смежном участке пристроенного здания – 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40 кв. м на 1 машино-место для гаражей.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Заправка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65%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дорожного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Автомобильные мойки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Ремонт автомобилей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Амбулаторное ветеринарное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Приюты для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eastAsia="Calibri" w:hAnsi="PT Astra Serif" w:cs="Tahoma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4.4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4.6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</w:rPr>
      </w:pPr>
    </w:p>
    <w:p>
      <w:pPr>
        <w:spacing w:after="0" w:line="240" w:lineRule="auto"/>
        <w:rPr>
          <w:rFonts w:ascii="PT Astra Serif" w:hAnsi="PT Astra Serif"/>
        </w:rPr>
      </w:pPr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6) размещение специализированных хранилищ пестицидов и агрохимикатов, применение пестицидов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20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21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(89:06-6.307)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3" w:name="_Toc63761235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КОММУНАЛЬНО-СКЛАДСКАЯ ЗОНА П-2</w:t>
      </w:r>
      <w:bookmarkEnd w:id="13"/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Хранение и переработка сельскохозяйственной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зданиями, строениями, сооружениями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Научно-производственная деятельность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6.12</w:t>
            </w:r>
          </w:p>
        </w:tc>
        <w:tc>
          <w:tcPr>
            <w:tcW w:w="10206" w:type="dxa"/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4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4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Проведение научных испытаний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3.9.3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Амбулаторное ветеринарное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Приюты для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3.10.2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Деловое управление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ConsPlusNormal"/>
              <w:numPr>
                <w:ilvl w:val="0"/>
                <w:numId w:val="11"/>
              </w:numPr>
              <w:tabs>
                <w:tab w:val="left" w:pos="260"/>
              </w:tabs>
              <w:ind w:left="5" w:firstLine="0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для многоярусных объектов – 3 м;</w:t>
            </w:r>
          </w:p>
          <w:p>
            <w:pPr>
              <w:pStyle w:val="ConsPlusNormal"/>
              <w:numPr>
                <w:ilvl w:val="0"/>
                <w:numId w:val="11"/>
              </w:numPr>
              <w:tabs>
                <w:tab w:val="left" w:pos="260"/>
              </w:tabs>
              <w:ind w:left="5" w:firstLine="0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для отдельно стоящих гаражей – 1,5 м;</w:t>
            </w:r>
          </w:p>
          <w:p>
            <w:pPr>
              <w:pStyle w:val="ConsPlusNormal"/>
              <w:numPr>
                <w:ilvl w:val="0"/>
                <w:numId w:val="11"/>
              </w:numPr>
              <w:tabs>
                <w:tab w:val="left" w:pos="260"/>
              </w:tabs>
              <w:ind w:left="5" w:firstLine="0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в случае размещения на смежном участке пристроенного здания – 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40 кв. м на 1 машино-место для гаражей.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Заправка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65%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дорожного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Автомобильные мойки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Ремонт автомобилей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eastAsia="Calibri" w:hAnsi="PT Astra Serif" w:cs="Tahoma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Производственная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6.0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(89:06-6.235)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в соответствии со </w:t>
            </w:r>
            <w:hyperlink r:id="rId22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23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  <w:lang w:val="x-none" w:eastAsia="ru-RU"/>
        </w:rPr>
      </w:pPr>
    </w:p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4" w:name="_Toc63761236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ИНЖЕНЕРНОЙ ИНФРАСТРУКТУРЫ И-1</w:t>
      </w:r>
      <w:bookmarkEnd w:id="14"/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Оказание услуг связи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3.2.3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Энергетика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 xml:space="preserve">понизительные подстанции и переключательные пункты напряжением свыше 35 кВ 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 220 кВ – не менее 4500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понизительные подстанции и переключательные пункты напряжением до 35 кВ включительно – не менее 1500 кв.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распределительные пункты и трансформаторные подстанции – не менее 50 кв.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под размещение объектов гидроэнергетики, тепловых станций и других электростанций -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участка– 90%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Связь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антенно-мачтовых сооружений – не менее 3000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90%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spacing w:after="0" w:line="240" w:lineRule="auto"/>
        <w:rPr>
          <w:rFonts w:ascii="PT Astra Serif" w:hAnsi="PT Astra Serif"/>
        </w:rPr>
      </w:pPr>
    </w:p>
    <w:p>
      <w:pPr>
        <w:spacing w:after="0" w:line="240" w:lineRule="auto"/>
        <w:rPr>
          <w:rFonts w:ascii="PT Astra Serif" w:hAnsi="PT Astra Serif"/>
        </w:rPr>
      </w:pPr>
    </w:p>
    <w:p>
      <w:pPr>
        <w:keepNext/>
        <w:spacing w:after="0" w:line="240" w:lineRule="auto"/>
        <w:ind w:right="14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0250"/>
      </w:tblGrid>
      <w:tr>
        <w:trPr>
          <w:trHeight w:val="20"/>
          <w:tblHeader/>
        </w:trPr>
        <w:tc>
          <w:tcPr>
            <w:tcW w:w="153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6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0250"/>
      </w:tblGrid>
      <w:tr>
        <w:trPr>
          <w:trHeight w:val="20"/>
          <w:tblHeader/>
        </w:trPr>
        <w:tc>
          <w:tcPr>
            <w:tcW w:w="153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6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6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6) размещение специализированных хранилищ пестицидов и агрохимикатов, применение пестицидов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в соответствии со </w:t>
            </w:r>
            <w:hyperlink r:id="rId24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(89:06-6.235)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(89:06-6.87)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6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25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(89:06-6.43)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6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3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инженерных коммуникаций (89:06-6.76)</w:t>
            </w:r>
          </w:p>
        </w:tc>
        <w:tc>
          <w:tcPr>
            <w:tcW w:w="3466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со сведениями Единого государственного реестра недвижимости</w:t>
            </w: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5" w:name="_Toc63761237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ВОЗДУШНОГО ТРАНСПОРТА Т-2</w:t>
      </w:r>
      <w:bookmarkEnd w:id="15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Воздушный транспорт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(89:06-6.46)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8) разведка и добыча общераспространенных полезных ископаемых  (за исключением случаев,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26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27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(89:06-6.307)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6" w:name="_Toc63761238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ВОДНОГО ТРАНСПОРТА Т-3</w:t>
      </w:r>
      <w:bookmarkEnd w:id="16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Водный транспорт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Причалы для маломерных судов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27 кв. м на 1 место для прогулочного флота;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75 кв. м на 1 место для спортивного флота.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28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(89:06-6.235)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29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7" w:name="_Toc63761239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АВТОМОБИЛЬНОГО ТРАНСПОРТА Т-4</w:t>
      </w:r>
      <w:bookmarkEnd w:id="17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Размещение автомобильных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7.2.1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Обслуживание перевозок пассажиров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7.2.2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Стоянки транспорта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7.2.3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Хранение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2.7.1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отдельно стоящих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 случае размещения на смежном участке пристроенного здания – 0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40 кв. м на 1 машино-место для гаражей.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Заправка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65%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дорожного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Автомобильные мойки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Ремонт автомобилей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4.9.1.4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Обеспечение внутреннего правопорядка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300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Бытовое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3.3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Служебные гаражи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4.9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tabs>
                <w:tab w:val="left" w:pos="260"/>
              </w:tabs>
              <w:ind w:left="5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постоянных или временных гаражей с несколькими стояночными местами, стоянок (парковок) гаражей – 1,5 м;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многоярусных объектов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30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(89:06-6.165)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(89:06-6.222)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31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8" w:name="_Toc63761240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УЛИЧНО-ДОРОЖНОЙ СЕТИ Т-5</w:t>
      </w:r>
      <w:bookmarkEnd w:id="18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Размещение автомобильных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7.2.1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в соответствии со </w:t>
            </w:r>
            <w:hyperlink r:id="rId32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(89:06-6.165)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(89:06-6.235)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(89:06-6.87)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33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(89:06-6.222)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19" w:name="_Toc63761241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ОЗЕЛЕНЕННЫХ ТЕРРИТОРИЙ ОБЩЕГО ПОЛЬЗОВАНИЯ Р-1</w:t>
      </w:r>
      <w:bookmarkEnd w:id="19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Парки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3.6.2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Этажность – до 2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Минимальный отступ от границ земельного участка - 3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20%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</w:rPr>
      </w:pP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0206"/>
      </w:tblGrid>
      <w:tr>
        <w:trPr>
          <w:trHeight w:val="20"/>
          <w:tblHeader/>
        </w:trPr>
        <w:tc>
          <w:tcPr>
            <w:tcW w:w="464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0199"/>
      </w:tblGrid>
      <w:tr>
        <w:trPr>
          <w:trHeight w:val="20"/>
          <w:tblHeader/>
        </w:trPr>
        <w:tc>
          <w:tcPr>
            <w:tcW w:w="464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10199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10199" w:type="dxa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6) размещение специализированных хранилищ пестицидов и агрохимикатов, применение пестицидов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34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(89:06-6.165)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(89:06-6.297)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 (89:06-6.222)</w:t>
            </w:r>
          </w:p>
        </w:tc>
        <w:tc>
          <w:tcPr>
            <w:tcW w:w="10199" w:type="dxa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35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Территория особо охраняемого природного объекта (89:06-6.67)</w:t>
            </w:r>
          </w:p>
        </w:tc>
        <w:tc>
          <w:tcPr>
            <w:tcW w:w="10199" w:type="dxa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 территории заказника запрещаются: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все виды охоты, за исключением охоты в целях осуществления научно-исследовательской деятельности, образовательной деятельности и охоты в целях регулирования численности охотничьих ресурсов;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все виды рыболовства, за исключением рыболовства в научно-исследовательских и контрольных целях;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добыча объектов животного мира, не отнесенных к охотничьим ресурсам, за исключением добычи в научных целях и в целях регулирования численности;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интродукция объектов животного мира в целях их акклиматизации;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заготовка древесины;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заготовка и сбор недревесных лесных ресурсов, заготовка пищевых лесных ресурсов и сбор лекарственных растений;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проведение сплошных рубок лесных насаждений;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сенокошение и распашка земель;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сброс с судов мусора, отработанных нефтепродуктов и фекальных вод;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размещение отходов производства и потребления, радиоактивных, химических, взрывчатых, токсичных, отравляющих и ядовитых веществ;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 xml:space="preserve">строительство и обустройство объектов, складирование строительных материалов, горюче-смазочных материалов и оборудования, не связанные с осуществлением разрешенной 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на территории заказника деятельности;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взрывные работы;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добыча полезных ископаемых, а также выполнение иных, связанных с пользованием недрами, работ;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 xml:space="preserve">проведение туризма без оформленного в установленном порядке письменного разрешения либо 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за пределами специально предусмотренных для этого мест;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уничтожение или повреждение шлагбаумов, аншлагов, стендов и других информационных знаков и указателей, а также оборудованных экологических троп и мест отдыха;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 xml:space="preserve">движение и стоянка механизированных транспортных средств, проход и стоянка судов и иных плавучих средств, посадка летательных аппаратов, не связанные с выполнением задач заказника 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и осуществлением разрешенной на территории заказника деятельности.</w:t>
            </w:r>
          </w:p>
          <w:p>
            <w:pPr>
              <w:spacing w:after="0" w:line="240" w:lineRule="auto"/>
              <w:contextualSpacing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 территории заказника разрешается: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Осуществление департаментом и учреждением (в том числе с привлечением сторонних организаций)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для обеспечения возложенных на заказник задач следующих видов деятельности: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проведение биотехнических мероприятий (заготовка кормов для подкормки животных, устройство кормовых полей, изготовление и ремонт подкормочных сооружений, выкладка кормов для подкормки животных, изготовление и установка искусственных гнездовий и других биотехнических сооружений);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регулирование численности объектов животного мира;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оборудование объектов, необходимых для осуществления экологического мониторинга (строительство наблюдательных вышек, скрадков для наблюдения за дикими животными и др.);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строительство объектов, необходимых для обеспечения охраны заказника (жилых строений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должностных лиц, опорных пунктов охраны, хозяйственных строений для хранения транспорта, оборудования, горюче-смазочных и строительных материалов и др.);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установление шлагбаумов, аншлагов, стендов и других информационных знаков и указателей;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создание объектов туристской инфраструктуры (жилых строений для туристов, обустройство туристических троп, стоянок и лагерей и др.);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складирование строительных материалов, горюче-смазочных материалов, оборудования;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проведение мероприятий по охране, защите и воспроизводству лесов.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Осуществление юридическими лицами и гражданами при наличии оформленного в установленном порядке письменного разрешения и под контролем должностных лиц департамента либо учреждения следующих видов деятельности: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проведение организованного экологического туризма;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охота в целях осуществления научно-исследовательской деятельности, образовательной деятельности;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рыболовство в научно-исследовательских и контрольных целях;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пользование объектами животного мира, не отнесенными к охотничьим ресурсам, в научных, культурно-просветительных, воспитательных, рекреационных и эстетических целях;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геологоразведочные изыскания без проведения взрывных работ;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движение и стоянка механизированных транспортных средств, проход и стоянка судов и иных плавучих средств, посадка летательных аппаратов.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Оформление разрешений на осуществление деятельности на территории заказника осуществляется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порядке, установленном Правительством автономного округа.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Лицам из числа коренных малочисленных народов Севера, чье существование и доходы полностью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или частично основаны на видах традиционной хозяйственной деятельности, на территории заказника разрешается природопользование (оленеводство, рыболовство, заготовка пищевых лесных ресурсов)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для обеспечения собственных нужд.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Любая разрешенная на территории заказника деятельность должна осуществляться с соблюдением требований природоохранного законодательства</w:t>
            </w: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(89:06-6.1009)</w:t>
            </w:r>
          </w:p>
        </w:tc>
        <w:tc>
          <w:tcPr>
            <w:tcW w:w="10199" w:type="dxa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пределах границ охранных зон пунктов запрещается использование земельных участков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для осуществления видов деятельности, приводящих к повреждению или уничтожению наружных опознавательных знаков пунктов, нарушению неизменности местоположения их центров, уничтожению, перемещению, засыпке или повреждению составных частей пунктов.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Также на земельных участках в границах охранных зон пунктов запрещается проведение работ, размещение объектов и предметов, которые могут препятствовать доступу к пунктам.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границах охранной зоны пунктов территории, в отношении которых устанавливаются различные ограничения использования земельных участков, не выделяются.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их территориального расположения.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Отдельные ограничения использования земельных участков при установлении охранных зон пунктов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зависимости от характеристик пунктов или их территориального расположения не устанавливаются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(89:06-6.1230)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(89:06-6.326)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(89:06-6.365)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(89:06-6.453)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(89:06-6.1636)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(89:06-6.1551)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(89:06-6.1155)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(89:06-6.763)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(89:06-6.722)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(89:06-6.1775)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(89:06-6.409)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(89:06-6.621)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(89:06-6.445)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(89:06-6.699)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(89:06-6.1472)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(89:06-6.1243)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(89:06-6.781)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(89:06-6.449)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(89:06-6.415)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(89:06-6.1479)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(89:06-6.582)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(89:06-6.679)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(89:06-6.1264)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(89:06-6.704)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(89:06-6.898)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(89:06-6.1714)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(89:06-6.1343)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(89:06-6.616)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(89:06-6.535)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(89:06-6.1645)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(89:06-6.951)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(89:06-6.472)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(89:06-6.1400)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(89:06-6.987)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(89:06-6.1170)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(89:06-6.1570)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(89:06-6.1457)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(89:06-6.454)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(89:06-6.1745)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(89:06-6.461)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(89:06-6.564)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(89:06-6.524)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(89:06-6.794)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(89:06-6.1684)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(89:06-6.508)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(89:06-6.1120)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(89:06-6.423)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(89:06-6.1511)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(89:06-6.455)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(89:06-6.754)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(89:06-6.1601)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(89:06-6.939)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(89:06-6.1419)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(89:06-6.1347)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(89:06-6.659)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 (89:06-6.1395)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(89:06-6.322)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(89:06-6.1533)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(89:06-6.790)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(89:06-6.1014)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(89:06-6.1340)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(89:06-6.546)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(89:06-6.448)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(89:06-6.970)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(89:06-6.1193)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(89:06-6.948)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(89:06-6.943)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(89:06-6.629)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(89:06-6.1073)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(89:06-6.341)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(89:06-6.1614)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(89:06-6.1448)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(89:06-6.1273)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(89:06-6.1011)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(89:06-6.889)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(89:06-6.1303)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(89:06-6.1122)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(89:06-6.862)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(89:06-6.792)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(89:06-6.777)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(89:06-6.756)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(89:06-6.1209)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(89:06-6.1612)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(89:06-6.645)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(89:06-6.806)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(89:06-6.1254)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(89:06-6.1286)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(89:06-6.960)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(89:06-6.965)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(89:06-6.1464)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(89:06-6.1754)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(89:06-6.319)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(89:06-6.700)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(89:06-6.1284)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(89:06-6.657)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(89:06-6.358)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(89:06-6.1471)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(89:06-6.617)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(89:06-6.760)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(89:06-6.886)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(89:06-6.1736)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(89:06-6.1757)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(89:06-6.430)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(89:06-6.477)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(89:06-6.1687)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(89:06-6.1119)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(89:06-6.1135)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(89:06-6.1156)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(89:06-6.1074)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(89:06-6.1573)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(89:06-6.567)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(89:06-6.1205)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(89:06-6.639)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(89:06-6.1331)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(89:06-6.349)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(89:06-6.1341)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(89:06-6.1079)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(89:06-6.1429)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(89:06-6.1708)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(89:06-6.1309)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(89:06-6.1140)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(89:06-6.1345)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(89:06-6.1652)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(89:06-6.1722)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(89:06-6.401)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(89:06-6.1307)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(89:06-6.416)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(89:06-6.1631)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(89:06-6.988)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(89:06-6.1158)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(89:06-6.1516)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(89:06-6.1577)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(89:06-6.1729)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(89:06-6.635)</w:t>
            </w:r>
          </w:p>
        </w:tc>
        <w:tc>
          <w:tcPr>
            <w:tcW w:w="10199" w:type="dxa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(89:06-6.1268)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(89:06-6.696)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(89:06-6.642)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(89:06-6.1619)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(89:06-6.1326)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(89:06-6.838)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(89:06-6.540)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(89:06-6.1490)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(89:06-6.1196)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(89:06-6.1561)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(89:06-6.575)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(89:06-6.1751)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(89:06-6.1025)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(89:06-6.1589)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(89:06-6.751)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(89:06-6.812)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(89:06-6.585)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(89:06-6.1512)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(89:06-6.1314)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(89:06-6.630)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(89:06-6.969)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(89:06-6.548)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(89:06-6.1189)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(89:06-6.1483)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(89:06-6.1107)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(89:06-6.492)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(89:06-6.1622)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(89:06-6.1550)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(89:06-6.906)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(89:06-6.1641)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(89:06-6.487)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(89:06-6.1380)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(89:06-6.1519)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(89:06-6.1297)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(89:06-6.1036)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(89:06-6.532)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(89:06-6.1433)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(89:06-6.1143)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(89:06-6.1076)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(89:06-6.694)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(89:06-6.644)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(89:06-6.529)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(89:06-6.1467)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(89:06-6.755)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(89:06-6.569)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(89:06-6.1748)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(89:06-6.1428)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(89:06-6.1416)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(89:06-6.1520)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(89:06-6.1000)</w:t>
            </w:r>
          </w:p>
        </w:tc>
        <w:tc>
          <w:tcPr>
            <w:tcW w:w="10199" w:type="dxa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(89:06-6.1101)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(89:06-6.1728)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(89:06-6.573)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(89:06-6.509)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(89:06-6.1047)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(89:06-6.1412)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(89:06-6.833)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(89:06-6.591)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(89:06-6.1468)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(89:06-6.471)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(89:06-6.609)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(89:06-6.981)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(89:06-6.1582)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(89:06-6.1357)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(89:06-6.1670)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(89:06-6.433)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(89:06-6.807)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(89:06-6.1372)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(89:06-6.581)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(89:06-6.1740)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(89:06-6.1075)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(89:06-6.1089)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(89:06-6.1772)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(89:06-6.600)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(89:06-6.703)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(89:06-6.1375)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(89:06-6.442)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(89:06-6.1163)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(89:06-6.924)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(89:06-6.563)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(89:06-6.1229)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(89:06-6.1555)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(89:06-6.992)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(89:06-6.1697)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(89:06-6.1703)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Охранная зона геодезического пункта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(89:06-6.735)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4644" w:type="dxa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Охранная зона геодезического пункта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(89:06-6.1667)</w:t>
            </w:r>
          </w:p>
        </w:tc>
        <w:tc>
          <w:tcPr>
            <w:tcW w:w="10199" w:type="dxa"/>
            <w:vMerge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0" w:name="_Toc63761242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ФИЗИЧЕСКОЙ КУЛЬТУРЫ И МАССОВОГО СПОРТА Р-2</w:t>
      </w:r>
      <w:bookmarkEnd w:id="20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спортивно-зрелищных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занятий спортом в помещениях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Водный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5.1.5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Авиационный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5.1.6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Спортивные базы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5.1.7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Поля для гольфа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конных прогулок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5.5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–1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1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(89:06-6.228)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36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(89:06-6.70)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(89:06-6.95)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(89:06-6.215)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37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1" w:name="_Toc63761243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ОБЪЕКТОВ ОТДЫХА И ТУРИЗМА Р-3</w:t>
      </w:r>
      <w:bookmarkEnd w:id="21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Природно-познавательный туризм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Предельная максимальная высота сооружений - 5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Туристическое обслуживание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5.2.1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30%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Охота и рыбалка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Причалы для маломерных судов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27 кв. м на 1 место для прогулочного флота;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75 кв. м на 1 место для спортивного флота.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Поля для гольфа и конных прогулок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Размеры земельных участков – не менее 100 кв. м.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Оборудованные площадки для занятий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Водный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5.1.5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3 надземных этажей.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100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70%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Спортивные базы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5.1.7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Курортная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9.2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Санаторная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9.2.1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30%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</w:rPr>
      </w:pPr>
    </w:p>
    <w:p>
      <w:pPr>
        <w:spacing w:after="0" w:line="240" w:lineRule="auto"/>
        <w:rPr>
          <w:rFonts w:ascii="PT Astra Serif" w:hAnsi="PT Astra Serif"/>
        </w:rPr>
      </w:pPr>
    </w:p>
    <w:p>
      <w:pPr>
        <w:spacing w:after="0" w:line="240" w:lineRule="auto"/>
        <w:rPr>
          <w:rFonts w:ascii="PT Astra Serif" w:hAnsi="PT Astra Serif"/>
        </w:rPr>
      </w:pP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Общественное 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Прибрежная защитная полоса </w:t>
            </w:r>
            <w:r>
              <w:rPr>
                <w:rFonts w:ascii="PT Astra Serif" w:hAnsi="PT Astra Serif" w:cs="Tahoma"/>
              </w:rPr>
              <w:br/>
              <w:t>(89:06-6.269)</w:t>
            </w:r>
          </w:p>
        </w:tc>
        <w:tc>
          <w:tcPr>
            <w:tcW w:w="3459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38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59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39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2" w:name="_Toc63761244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СЕЛЬСКОХОЗЯЙСТВЕННЫХ УГОДИЙ СХ-1</w:t>
      </w:r>
      <w:bookmarkEnd w:id="22"/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Выращивание зерновых и иных сельскохозяйственных культур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20%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Овощеводство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Выращивание тонизирующих, лекарственных, цветочных культур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Садоводство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1.5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Выращивание льна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конопли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1.6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Научное обеспечение сельского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Сенокошение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1.19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Выпас сельскохозяйственных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1.20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83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Прибрежная защитная полоса </w:t>
            </w:r>
            <w:r>
              <w:rPr>
                <w:rFonts w:ascii="PT Astra Serif" w:hAnsi="PT Astra Serif" w:cs="Tahoma"/>
              </w:rPr>
              <w:br/>
              <w:t>(89:06-6.269)</w:t>
            </w:r>
          </w:p>
        </w:tc>
        <w:tc>
          <w:tcPr>
            <w:tcW w:w="3436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40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6) размещение специализированных хранилищ пестицидов и агрохимикатов, применение пестицидов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8) разведка и добыча общераспространенных полезных ископаемых  (за исключением случаев,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41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3" w:name="_Toc63761245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ЗОНА, ЗАНЯТАЯ ОБЪЕКТАМИ СЕЛЬСКОХОЗЯЙСТВЕННОГО НАЗНАЧЕНИЯ СХ-3</w:t>
      </w:r>
      <w:bookmarkEnd w:id="23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Выращивание зерновых и иных сельскохозяйственных культур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20%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Овощеводство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Выращивание тонизирующих, лекарственных, цветочных культур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1.4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Садоводство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1.5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Выращивание льна и конопли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1.6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Скотоводство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1.8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надземный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40%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Звероводство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1.9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Птицеводство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1.10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Свиноводство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Пчеловодство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40%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Рыбоводство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1.13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Научное обеспечение сельского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20%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Хранение и переработка сельскохозяйственной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1.15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зданиями, строениями, сооружениями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Ведение личного подсобного хозяйства на полевых участках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1.16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зданиями, строениями, сооружениями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Питомники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1.17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Обеспечение сельскохозяйственного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1.18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1 надземный этаж.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не подлежит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Сенокошение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1.19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Выпас сельскохозяйственных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1.20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Фармацевтическая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6.3.1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3 надземных этажа.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 – II класса опасности – 70%;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III класса опасности – 75%;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IV, V класса опасности – 80%.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Пищевая промышленность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5 надземных этажей.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не подлежат установлению.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 - II класса опасности – 70%;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III класса опасности – 75%;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IV, V класса опасности – 80%.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Минимальный процент озеленения: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 - II класса опасности – 20%;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III класса опасности – 15%;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для объектов IV, V класса опасности – 10%.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Причалы для маломерных судов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участков: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27 кв. м на 1 место для прогулочного флота;</w:t>
            </w:r>
          </w:p>
          <w:p>
            <w:pPr>
              <w:pStyle w:val="af1"/>
              <w:keepNext w:val="0"/>
              <w:numPr>
                <w:ilvl w:val="0"/>
                <w:numId w:val="12"/>
              </w:numPr>
              <w:spacing w:before="0" w:after="0"/>
              <w:ind w:left="630" w:hanging="270"/>
              <w:contextualSpacing/>
              <w:jc w:val="left"/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</w:pPr>
            <w:r>
              <w:rPr>
                <w:rFonts w:ascii="PT Astra Serif" w:hAnsi="PT Astra Serif"/>
                <w:i w:val="0"/>
                <w:sz w:val="22"/>
                <w:szCs w:val="22"/>
                <w:lang w:eastAsia="ru-RU"/>
              </w:rPr>
              <w:t>75 кв. м на 1 место для спортивного флота.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Воздушный транспорт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Связь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</w:pPr>
            <w:r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  <w:t>Предельное максимальное количество этажей не подлежит установлению.</w:t>
            </w:r>
          </w:p>
          <w:p>
            <w:pPr>
              <w:pStyle w:val="ConsPlusNormal"/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</w:pPr>
            <w:r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>
            <w:pPr>
              <w:pStyle w:val="ConsPlusNormal"/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</w:pPr>
            <w:r>
              <w:rPr>
                <w:rFonts w:ascii="PT Astra Serif" w:eastAsiaTheme="minorHAnsi" w:hAnsi="PT Astra Serif" w:cs="Tahoma"/>
                <w:sz w:val="22"/>
                <w:szCs w:val="22"/>
                <w:lang w:eastAsia="en-US"/>
              </w:rPr>
              <w:t>Размеры земельных участков антенно-мачтовых сооружений – не менее 3000 кв. м.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Максимальный процент застройки в границах земельного участка – 90%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bCs/>
              </w:rPr>
              <w:t>Магазины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</w:rPr>
              <w:t>4.4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pStyle w:val="ConsPlusNormal"/>
              <w:rPr>
                <w:rFonts w:ascii="PT Astra Serif" w:hAnsi="PT Astra Serif" w:cs="Tahoma"/>
                <w:sz w:val="22"/>
                <w:szCs w:val="22"/>
              </w:rPr>
            </w:pPr>
            <w:r>
              <w:rPr>
                <w:rFonts w:ascii="PT Astra Serif" w:hAnsi="PT Astra Serif" w:cs="Tahoma"/>
                <w:sz w:val="22"/>
                <w:szCs w:val="22"/>
              </w:rPr>
              <w:t>Размеры земельных участков – не менее 200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hAnsi="PT Astra Serif" w:cs="Tahoma"/>
                <w:lang w:eastAsia="ru-RU"/>
              </w:rPr>
              <w:t>Максимальный процент застройки в границах земельного участка – 75%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Склады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Предельное максимальное количество этажей – 2 надземных этажа.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      </w:r>
          </w:p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Размеры земельных участков – не менее 500 кв. м.</w:t>
            </w:r>
          </w:p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Максимальный процент застройки в границах земельного участка – 80%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  <w:bCs/>
              </w:rPr>
            </w:pPr>
            <w:r>
              <w:rPr>
                <w:rFonts w:ascii="PT Astra Serif" w:hAnsi="PT Astra Serif" w:cs="Tahoma"/>
                <w:bCs/>
              </w:rPr>
              <w:t>Складские площадки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6.9.1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4" w:name="_Toc63761246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КЛАДБИЩ СН-1</w:t>
      </w:r>
      <w:bookmarkEnd w:id="24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Ритуальная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12.1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229"/>
      </w:tblGrid>
      <w:tr>
        <w:trPr>
          <w:trHeight w:val="20"/>
          <w:tblHeader/>
        </w:trPr>
        <w:tc>
          <w:tcPr>
            <w:tcW w:w="1541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59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59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5) строительство и реконструкция автозаправочных станций, складов горюче-смазочных материалов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42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59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41" w:type="pct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59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43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</w:pPr>
      <w:bookmarkStart w:id="25" w:name="_Toc63761247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СКЛАДИРОВАНИЯ И ЗАХОРОНЕНИЯ ОТХОДОВ СН-2</w:t>
      </w:r>
      <w:bookmarkEnd w:id="25"/>
    </w:p>
    <w:p>
      <w:pPr>
        <w:keepNext/>
        <w:spacing w:after="0" w:line="240" w:lineRule="auto"/>
        <w:ind w:right="252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Специальная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12.2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</w:p>
        </w:tc>
      </w:tr>
    </w:tbl>
    <w:p>
      <w:pPr>
        <w:keepNext/>
        <w:spacing w:after="0" w:line="240" w:lineRule="auto"/>
        <w:ind w:right="111"/>
        <w:jc w:val="both"/>
        <w:outlineLvl w:val="1"/>
        <w:rPr>
          <w:rFonts w:ascii="PT Astra Serif" w:hAnsi="PT Astra Serif" w:cs="Tahoma"/>
          <w:sz w:val="24"/>
          <w:szCs w:val="24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 xml:space="preserve">УСЛОВНО РАЗРЕШЕННЫЕ ВИДЫ И ПАРАМЕТРЫ ИСПОЛЬЗОВАНИЯ ЗЕМЕЛЬНЫХ УЧАСТКОВ И ОБЪЕКТОВ КАПИТАЛЬНОГО СТРОИТЕЛЬСТВА: </w:t>
      </w:r>
      <w:r>
        <w:rPr>
          <w:rFonts w:ascii="PT Astra Serif" w:hAnsi="PT Astra Serif" w:cs="Tahoma"/>
          <w:sz w:val="24"/>
          <w:szCs w:val="24"/>
        </w:rPr>
        <w:t>нет.</w:t>
      </w:r>
    </w:p>
    <w:p>
      <w:pPr>
        <w:keepNext/>
        <w:spacing w:after="0" w:line="240" w:lineRule="auto"/>
        <w:ind w:right="111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3.1.1</w:t>
            </w:r>
          </w:p>
        </w:tc>
        <w:tc>
          <w:tcPr>
            <w:tcW w:w="10206" w:type="dxa"/>
            <w:vMerge w:val="restart"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Улично-дорожная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12.0.1</w:t>
            </w:r>
          </w:p>
        </w:tc>
        <w:tc>
          <w:tcPr>
            <w:tcW w:w="10206" w:type="dxa"/>
            <w:vMerge/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12.0.2</w:t>
            </w:r>
          </w:p>
        </w:tc>
        <w:tc>
          <w:tcPr>
            <w:tcW w:w="10206" w:type="dxa"/>
            <w:vMerge/>
            <w:tcBorders>
              <w:bottom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Calibri" w:hAnsi="PT Astra Serif" w:cs="Tahoma"/>
              </w:rPr>
            </w:pPr>
          </w:p>
        </w:tc>
      </w:tr>
    </w:tbl>
    <w:p>
      <w:pPr>
        <w:keepNext/>
        <w:pageBreakBefore/>
        <w:numPr>
          <w:ilvl w:val="0"/>
          <w:numId w:val="17"/>
        </w:numPr>
        <w:tabs>
          <w:tab w:val="left" w:pos="709"/>
        </w:tabs>
        <w:spacing w:after="0" w:line="240" w:lineRule="auto"/>
        <w:ind w:left="709" w:hanging="709"/>
        <w:jc w:val="center"/>
        <w:outlineLvl w:val="0"/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val="x-none" w:eastAsia="x-none"/>
        </w:rPr>
      </w:pPr>
      <w:bookmarkStart w:id="26" w:name="_Toc63761248"/>
      <w:r>
        <w:rPr>
          <w:rFonts w:ascii="PT Astra Serif" w:eastAsia="Times New Roman" w:hAnsi="PT Astra Serif" w:cs="Tahoma"/>
          <w:b/>
          <w:bCs/>
          <w:kern w:val="32"/>
          <w:sz w:val="28"/>
          <w:szCs w:val="28"/>
          <w:lang w:eastAsia="x-none"/>
        </w:rPr>
        <w:t>ЗОНА ОЗЕЛЕНЕННЫХ ТЕРРИТОРИЙ СПЕЦИАЛЬНОГО НАЗНАЧЕНИЯ СН-4</w:t>
      </w:r>
      <w:bookmarkEnd w:id="26"/>
    </w:p>
    <w:p>
      <w:pPr>
        <w:keepNext/>
        <w:spacing w:after="0" w:line="240" w:lineRule="auto"/>
        <w:ind w:right="111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4644" w:type="dxa"/>
            <w:gridSpan w:val="2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206" w:type="dxa"/>
            <w:vMerge w:val="restar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вида использования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код вида использования</w:t>
            </w:r>
          </w:p>
        </w:tc>
        <w:tc>
          <w:tcPr>
            <w:tcW w:w="10206" w:type="dxa"/>
            <w:vMerge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spacing w:after="0" w:line="240" w:lineRule="auto"/>
        <w:ind w:left="567"/>
        <w:jc w:val="both"/>
        <w:rPr>
          <w:rFonts w:ascii="PT Astra Serif" w:eastAsia="Times New Roman" w:hAnsi="PT Astra Serif" w:cs="Tahoma"/>
          <w:b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84"/>
        <w:gridCol w:w="10206"/>
      </w:tblGrid>
      <w:tr>
        <w:trPr>
          <w:trHeight w:val="20"/>
          <w:tblHeader/>
        </w:trPr>
        <w:tc>
          <w:tcPr>
            <w:tcW w:w="2660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  <w:tc>
          <w:tcPr>
            <w:tcW w:w="10206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Запас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12.3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Предоставление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3.1.1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PT Astra Serif" w:eastAsia="Times New Roman" w:hAnsi="PT Astra Serif" w:cs="Tahoma"/>
                <w:lang w:eastAsia="ru-RU"/>
              </w:rPr>
            </w:pPr>
          </w:p>
        </w:tc>
      </w:tr>
    </w:tbl>
    <w:p>
      <w:pPr>
        <w:keepNext/>
        <w:spacing w:after="0" w:line="240" w:lineRule="auto"/>
        <w:ind w:right="111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УСЛОВНО РАЗРЕШЕННЫЕ ВИДЫ И ПАРАМЕТРЫ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111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СТРОИТЕЛЬСТВА: нет.</w:t>
      </w:r>
    </w:p>
    <w:p>
      <w:pPr>
        <w:keepNext/>
        <w:spacing w:after="0" w:line="240" w:lineRule="auto"/>
        <w:ind w:right="111"/>
        <w:jc w:val="both"/>
        <w:outlineLvl w:val="1"/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</w:pPr>
      <w:r>
        <w:rPr>
          <w:rFonts w:ascii="PT Astra Serif" w:eastAsia="Times New Roman" w:hAnsi="PT Astra Serif" w:cs="Tahoma"/>
          <w:bCs/>
          <w:iCs/>
          <w:sz w:val="24"/>
          <w:szCs w:val="24"/>
          <w:lang w:eastAsia="ru-RU"/>
        </w:rPr>
        <w:t>ОГРАНИЧЕНИЯ ИСПОЛЬЗОВАНИЯ ЗЕМЕЛЬНЫХ УЧАСТКОВ И ОБЪЕКТОВ КАПИТАЛЬНОГО СТРОИТЕЛЬСТВА, УСТАНАВЛИВАЕМЫЕ В СООТВЕТСТВИИ С ЗАКОНОДАТЕЛЬСТВОМ РОССИЙСКОЙ ФЕДЕРАЦИИ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Наименование зоны с особыми условиями использования территорий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 xml:space="preserve">Ограничения использования земельных участков </w:t>
            </w:r>
            <w:r>
              <w:rPr>
                <w:rFonts w:ascii="PT Astra Serif" w:eastAsia="Times New Roman" w:hAnsi="PT Astra Serif" w:cs="Tahoma"/>
                <w:lang w:eastAsia="ru-RU"/>
              </w:rPr>
              <w:br/>
              <w:t>и объектов капитального строительства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ahoma"/>
          <w:sz w:val="2"/>
          <w:szCs w:val="2"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10013"/>
      </w:tblGrid>
      <w:tr>
        <w:trPr>
          <w:trHeight w:val="20"/>
          <w:tblHeader/>
        </w:trPr>
        <w:tc>
          <w:tcPr>
            <w:tcW w:w="1564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val="en-US" w:eastAsia="ru-RU"/>
              </w:rPr>
            </w:pPr>
            <w:r>
              <w:rPr>
                <w:rFonts w:ascii="PT Astra Serif" w:eastAsia="Times New Roman" w:hAnsi="PT Astra Serif" w:cs="Tahoma"/>
                <w:lang w:val="en-US" w:eastAsia="ru-RU"/>
              </w:rPr>
              <w:t>1</w:t>
            </w:r>
          </w:p>
        </w:tc>
        <w:tc>
          <w:tcPr>
            <w:tcW w:w="3436" w:type="pct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PT Astra Serif" w:eastAsia="Times New Roman" w:hAnsi="PT Astra Serif" w:cs="Tahoma"/>
                <w:lang w:eastAsia="ru-RU"/>
              </w:rPr>
            </w:pPr>
            <w:r>
              <w:rPr>
                <w:rFonts w:ascii="PT Astra Serif" w:eastAsia="Times New Roman" w:hAnsi="PT Astra Serif" w:cs="Tahoma"/>
                <w:lang w:eastAsia="ru-RU"/>
              </w:rPr>
              <w:t>2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(89:06-6.154)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 соответствии с частью 15 статьи 65 Водного кодекса Российской Федерации в границах водоохранных зон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использование сточных вод в целях регулирования плодородия почв;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2) размещение кладбищ, скотомогильников, объектов размещения отходов производства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осуществление авиационных мер по борьбе с вредными организмами;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4) движение и стоянка транспортных средств (кроме специальных транспортных средств)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за исключением их движения по дорогам и стоянки на дорогах и в специально оборудованных местах, имеющих твердое покрытие;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5) строительство и реконструкция автозаправочных станций, складов горюче-смазочных материалов 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 (сооружений) для стоянки маломерных судов, объектов органов федеральной службы безопасности)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6) размещение специализированных хранилищ пестицидов и агрохимикатов, применение пестицидов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агрохимикатов;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7) сброс сточных, в том числе дренажных, вод;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8) разведка и добыча общераспространенных полезных ископаемых  (за исключением случаев,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границах предоставленных им в соответствии с законодательством Российской Федерации о недрах горных отводов и  (или) геологических отводов на основании утвержденного технического проекта 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со </w:t>
            </w:r>
            <w:hyperlink r:id="rId44" w:history="1">
              <w:r>
                <w:rPr>
                  <w:rFonts w:ascii="PT Astra Serif" w:hAnsi="PT Astra Serif" w:cs="Tahoma"/>
                </w:rPr>
                <w:t>статьей 19.1</w:t>
              </w:r>
            </w:hyperlink>
            <w:r>
              <w:rPr>
                <w:rFonts w:ascii="PT Astra Serif" w:hAnsi="PT Astra Serif" w:cs="Tahoma"/>
              </w:rPr>
              <w:t xml:space="preserve"> Закона Российской Федерации от 21.02.1992 № 2395-1 «О недрах»).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16 статьи 65 Водного кодекса Российской Федерации 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и истощения вод в соответствии с водным законодательством и законодательством в области охраны окружающей среды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(89:06-6.165)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(89:06-6.228)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(89:06-6.235)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(89:06-6.31)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(89:06-6.46)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(89:06-6.48)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(89:06-6.63)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(89:06-6.70)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(89:06-6.82)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(89:06-6.87)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Водоохранная зона (89:06-6.95)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(89:06-6.115)</w:t>
            </w:r>
          </w:p>
        </w:tc>
        <w:tc>
          <w:tcPr>
            <w:tcW w:w="3436" w:type="pct"/>
            <w:vMerge w:val="restart"/>
          </w:tcPr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 xml:space="preserve">В соответствии с частью 17 статьи 65 Водного кодекса Российской Федерации в границах прибрежных защитных полос (наряду с установленными </w:t>
            </w:r>
            <w:hyperlink r:id="rId45" w:history="1">
              <w:r>
                <w:rPr>
                  <w:rFonts w:ascii="PT Astra Serif" w:hAnsi="PT Astra Serif" w:cs="Tahoma"/>
                </w:rPr>
                <w:t>частью 15</w:t>
              </w:r>
            </w:hyperlink>
            <w:r>
              <w:rPr>
                <w:rFonts w:ascii="PT Astra Serif" w:hAnsi="PT Astra Serif" w:cs="Tahoma"/>
              </w:rPr>
              <w:t xml:space="preserve"> статьи 65 Водного кодекса Российской Федерации) ограничениями запрещаются: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1) распашка земель;</w:t>
            </w:r>
          </w:p>
          <w:p>
            <w:pPr>
              <w:spacing w:after="0" w:line="240" w:lineRule="auto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2) размещение отвалов размываемых грунтов;</w:t>
            </w:r>
          </w:p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3) выпас сельскохозяйственных животных и организация для них летних лагерей, ванн.</w:t>
            </w: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(89:06-6.178)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(89:06-6.215)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(89:06-6.222)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(89:06-6.234)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(89:06-6.241)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(89:06-6.246)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(89:06-6.269)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(89:06-6.307)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(89:06-6.49)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(89:06-6.7)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(89:06-6.90)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  <w:tr>
        <w:trPr>
          <w:trHeight w:val="20"/>
        </w:trPr>
        <w:tc>
          <w:tcPr>
            <w:tcW w:w="1564" w:type="pc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  <w:r>
              <w:rPr>
                <w:rFonts w:ascii="PT Astra Serif" w:hAnsi="PT Astra Serif" w:cs="Tahoma"/>
              </w:rPr>
              <w:t>Прибрежная защитная полоса (89:06-6.93)</w:t>
            </w:r>
          </w:p>
        </w:tc>
        <w:tc>
          <w:tcPr>
            <w:tcW w:w="3436" w:type="pct"/>
            <w:vMerge/>
          </w:tcPr>
          <w:p>
            <w:pPr>
              <w:spacing w:after="0" w:line="240" w:lineRule="auto"/>
              <w:jc w:val="both"/>
              <w:rPr>
                <w:rFonts w:ascii="PT Astra Serif" w:hAnsi="PT Astra Serif" w:cs="Tahoma"/>
              </w:rPr>
            </w:pPr>
          </w:p>
        </w:tc>
      </w:tr>
    </w:tbl>
    <w:p>
      <w:pPr>
        <w:spacing w:after="0" w:line="240" w:lineRule="auto"/>
        <w:rPr>
          <w:rFonts w:ascii="PT Astra Serif" w:hAnsi="PT Astra Serif"/>
          <w:lang w:eastAsia="ru-RU"/>
        </w:rPr>
      </w:pPr>
    </w:p>
    <w:sectPr>
      <w:headerReference w:type="default" r:id="rId46"/>
      <w:footerReference w:type="default" r:id="rId47"/>
      <w:footerReference w:type="first" r:id="rId48"/>
      <w:pgSz w:w="16838" w:h="11906" w:orient="landscape"/>
      <w:pgMar w:top="1701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  <w:endnote w:type="continuationNotice" w:id="1">
    <w:p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332067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>
        <w:pPr>
          <w:pStyle w:val="a5"/>
        </w:pPr>
      </w:p>
      <w:p>
        <w:pPr>
          <w:pStyle w:val="a5"/>
          <w:tabs>
            <w:tab w:val="clear" w:pos="9355"/>
            <w:tab w:val="right" w:pos="9923"/>
          </w:tabs>
          <w:rPr>
            <w:rFonts w:ascii="PT Astra Serif" w:hAnsi="PT Astra Serif"/>
            <w:sz w:val="20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45164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>
        <w:pPr>
          <w:pStyle w:val="a5"/>
        </w:pPr>
      </w:p>
      <w:p>
        <w:pPr>
          <w:pStyle w:val="a5"/>
          <w:tabs>
            <w:tab w:val="clear" w:pos="9355"/>
            <w:tab w:val="right" w:pos="9923"/>
          </w:tabs>
          <w:rPr>
            <w:rFonts w:ascii="PT Astra Serif" w:hAnsi="PT Astra Serif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type="continuationNotice" w:id="1">
    <w:p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</w:rPr>
      <w:id w:val="761183328"/>
      <w:docPartObj>
        <w:docPartGallery w:val="Page Numbers (Top of Page)"/>
        <w:docPartUnique/>
      </w:docPartObj>
    </w:sdtPr>
    <w:sdtContent>
      <w:p>
        <w:pPr>
          <w:pStyle w:val="a8"/>
          <w:jc w:val="center"/>
          <w:rPr>
            <w:rFonts w:ascii="PT Astra Serif" w:hAnsi="PT Astra Serif"/>
          </w:rPr>
        </w:pPr>
      </w:p>
      <w:p>
        <w:pPr>
          <w:pStyle w:val="a8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B01F1"/>
    <w:multiLevelType w:val="hybridMultilevel"/>
    <w:tmpl w:val="7334F9BE"/>
    <w:lvl w:ilvl="0" w:tplc="2BAE004A">
      <w:start w:val="1"/>
      <w:numFmt w:val="bullet"/>
      <w:lvlText w:val="−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9A24BDD"/>
    <w:multiLevelType w:val="hybridMultilevel"/>
    <w:tmpl w:val="D554844E"/>
    <w:lvl w:ilvl="0" w:tplc="79D68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E32FF"/>
    <w:multiLevelType w:val="hybridMultilevel"/>
    <w:tmpl w:val="21EA5B96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54CB7"/>
    <w:multiLevelType w:val="hybridMultilevel"/>
    <w:tmpl w:val="BE38E00A"/>
    <w:lvl w:ilvl="0" w:tplc="29BEB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A7BE3"/>
    <w:multiLevelType w:val="hybridMultilevel"/>
    <w:tmpl w:val="FF0632BE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939FD"/>
    <w:multiLevelType w:val="hybridMultilevel"/>
    <w:tmpl w:val="DD8A78E0"/>
    <w:lvl w:ilvl="0" w:tplc="EE409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3695B"/>
    <w:multiLevelType w:val="hybridMultilevel"/>
    <w:tmpl w:val="44B43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C2B5A"/>
    <w:multiLevelType w:val="hybridMultilevel"/>
    <w:tmpl w:val="BC20C896"/>
    <w:lvl w:ilvl="0" w:tplc="0D18B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3512F"/>
    <w:multiLevelType w:val="hybridMultilevel"/>
    <w:tmpl w:val="7438254C"/>
    <w:lvl w:ilvl="0" w:tplc="0D18B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3658B5"/>
    <w:multiLevelType w:val="hybridMultilevel"/>
    <w:tmpl w:val="B4EEB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47241"/>
    <w:multiLevelType w:val="hybridMultilevel"/>
    <w:tmpl w:val="0C569324"/>
    <w:lvl w:ilvl="0" w:tplc="47526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64B5C"/>
    <w:multiLevelType w:val="multilevel"/>
    <w:tmpl w:val="F4D428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679A3CAA"/>
    <w:multiLevelType w:val="hybridMultilevel"/>
    <w:tmpl w:val="387AEDE6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655D3"/>
    <w:multiLevelType w:val="hybridMultilevel"/>
    <w:tmpl w:val="78D8555C"/>
    <w:lvl w:ilvl="0" w:tplc="EE409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D6CEE"/>
    <w:multiLevelType w:val="multilevel"/>
    <w:tmpl w:val="90CEC6C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7AAC5BC8"/>
    <w:multiLevelType w:val="hybridMultilevel"/>
    <w:tmpl w:val="A7C0048A"/>
    <w:lvl w:ilvl="0" w:tplc="29BEB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610D3F"/>
    <w:multiLevelType w:val="hybridMultilevel"/>
    <w:tmpl w:val="926CD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3"/>
  </w:num>
  <w:num w:numId="12">
    <w:abstractNumId w:val="15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B86D90-F3A8-4416-8CFF-F48E7662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pPr>
      <w:keepNext/>
      <w:pageBreakBefore/>
      <w:numPr>
        <w:numId w:val="1"/>
      </w:numPr>
      <w:tabs>
        <w:tab w:val="left" w:pos="426"/>
      </w:tabs>
      <w:spacing w:after="120" w:line="240" w:lineRule="auto"/>
      <w:ind w:left="431" w:hanging="431"/>
      <w:jc w:val="center"/>
      <w:outlineLvl w:val="0"/>
    </w:pPr>
    <w:rPr>
      <w:rFonts w:ascii="Tahoma" w:eastAsia="Times New Roman" w:hAnsi="Tahoma" w:cs="Tahoma"/>
      <w:b/>
      <w:bCs/>
      <w:kern w:val="32"/>
      <w:sz w:val="28"/>
      <w:szCs w:val="28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60" w:after="60" w:line="240" w:lineRule="auto"/>
      <w:jc w:val="both"/>
      <w:outlineLvl w:val="1"/>
    </w:pPr>
    <w:rPr>
      <w:rFonts w:ascii="Tahoma" w:eastAsia="Times New Roman" w:hAnsi="Tahoma" w:cs="Tahoma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ahoma" w:eastAsia="Times New Roman" w:hAnsi="Tahoma" w:cs="Tahoma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3">
    <w:name w:val="Абзац"/>
    <w:basedOn w:val="a"/>
    <w:link w:val="a4"/>
    <w:qFormat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Знак"/>
    <w:link w:val="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Pr>
      <w:rFonts w:ascii="Tahoma" w:eastAsia="Times New Roman" w:hAnsi="Tahoma" w:cs="Tahoma"/>
      <w:b/>
      <w:bCs/>
      <w:kern w:val="32"/>
      <w:sz w:val="28"/>
      <w:szCs w:val="28"/>
      <w:lang w:eastAsia="x-none"/>
    </w:rPr>
  </w:style>
  <w:style w:type="paragraph" w:styleId="a5">
    <w:name w:val="footer"/>
    <w:aliases w:val="Знак,Знак6,Знак14"/>
    <w:basedOn w:val="a"/>
    <w:link w:val="a6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Знак Знак,Знак6 Знак,Знак14 Знак"/>
    <w:basedOn w:val="a0"/>
    <w:link w:val="a5"/>
  </w:style>
  <w:style w:type="paragraph" w:customStyle="1" w:styleId="S">
    <w:name w:val="S_Титульный"/>
    <w:basedOn w:val="a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11">
    <w:name w:val="toc 1"/>
    <w:basedOn w:val="a"/>
    <w:next w:val="a"/>
    <w:uiPriority w:val="39"/>
    <w:qFormat/>
    <w:pPr>
      <w:tabs>
        <w:tab w:val="left" w:pos="440"/>
        <w:tab w:val="right" w:leader="dot" w:pos="9628"/>
      </w:tabs>
      <w:spacing w:before="120" w:after="120" w:line="240" w:lineRule="auto"/>
      <w:ind w:left="426" w:hanging="426"/>
    </w:pPr>
    <w:rPr>
      <w:rFonts w:ascii="Tahoma" w:eastAsia="Times New Roman" w:hAnsi="Tahoma" w:cs="Times New Roman"/>
      <w:b/>
      <w:bCs/>
      <w:caps/>
      <w:noProof/>
      <w:szCs w:val="20"/>
      <w:lang w:eastAsia="ru-RU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2"/>
    <w:uiPriority w:val="34"/>
    <w:qFormat/>
    <w:pPr>
      <w:ind w:left="576" w:hanging="576"/>
    </w:pPr>
    <w:rPr>
      <w:i/>
      <w:lang w:eastAsia="en-US"/>
    </w:rPr>
  </w:style>
  <w:style w:type="paragraph" w:styleId="af2">
    <w:name w:val="Revision"/>
    <w:hidden/>
    <w:uiPriority w:val="99"/>
    <w:semiHidden/>
    <w:pPr>
      <w:spacing w:after="0" w:line="240" w:lineRule="auto"/>
    </w:pPr>
  </w:style>
  <w:style w:type="table" w:styleId="af3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pPr>
      <w:spacing w:after="0" w:line="240" w:lineRule="auto"/>
    </w:pPr>
  </w:style>
  <w:style w:type="paragraph" w:styleId="21">
    <w:name w:val="toc 2"/>
    <w:basedOn w:val="a"/>
    <w:next w:val="a"/>
    <w:autoRedefine/>
    <w:uiPriority w:val="39"/>
    <w:unhideWhenUsed/>
    <w:pPr>
      <w:tabs>
        <w:tab w:val="right" w:leader="dot" w:pos="9911"/>
      </w:tabs>
      <w:spacing w:after="100"/>
      <w:ind w:left="220"/>
    </w:pPr>
    <w:rPr>
      <w:rFonts w:ascii="Tahoma" w:hAnsi="Tahoma" w:cs="Tahoma"/>
      <w:noProof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2CC718F810042DFB8CDE142A8DD8EC8D40229F501E4B57A7E050FA7C18CA09B1359A0819D8506D18EE089D6B02F2131E1810CFD4EfBK" TargetMode="External"/><Relationship Id="rId18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26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9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34" Type="http://schemas.openxmlformats.org/officeDocument/2006/relationships/hyperlink" Target="consultantplus://offline/ref=72CC718F810042DFB8CDE142A8DD8EC8D40229F501E4B57A7E050FA7C18CA09B1359A0819D8506D18EE089D6B02F2131E1810CFD4EfBK" TargetMode="External"/><Relationship Id="rId42" Type="http://schemas.openxmlformats.org/officeDocument/2006/relationships/hyperlink" Target="consultantplus://offline/ref=72CC718F810042DFB8CDE142A8DD8EC8D40229F501E4B57A7E050FA7C18CA09B1359A0819D8506D18EE089D6B02F2131E1810CFD4EfBK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17" Type="http://schemas.openxmlformats.org/officeDocument/2006/relationships/hyperlink" Target="consultantplus://offline/ref=72CC718F810042DFB8CDE142A8DD8EC8D40229F501E4B57A7E050FA7C18CA09B1359A0819D8506D18EE089D6B02F2131E1810CFD4EfBK" TargetMode="External"/><Relationship Id="rId25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33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38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20" Type="http://schemas.openxmlformats.org/officeDocument/2006/relationships/hyperlink" Target="consultantplus://offline/ref=72CC718F810042DFB8CDE142A8DD8EC8D40229F501E4B57A7E050FA7C18CA09B1359A0819D8506D18EE089D6B02F2131E1810CFD4EfBK" TargetMode="External"/><Relationship Id="rId29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1" Type="http://schemas.openxmlformats.org/officeDocument/2006/relationships/hyperlink" Target="consultantplus://offline/ref=72CC718F810042DFB8CDE142A8DD8EC8D40229F501E4B57A7E050FA7C18CA09B1359A0819D8506D18EE089D6B02F2131E1810CFD4EfB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72CC718F810042DFB8CDE142A8DD8EC8D40229F501E4B57A7E050FA7C18CA09B1359A0819D8506D18EE089D6B02F2131E1810CFD4EfBK" TargetMode="External"/><Relationship Id="rId24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2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7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0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5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72CC718F810042DFB8CDE142A8DD8EC8D40229F501E4B57A7E050FA7C18CA09B1359A0819D8506D18EE089D6B02F2131E1810CFD4EfBK" TargetMode="External"/><Relationship Id="rId23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28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6" Type="http://schemas.openxmlformats.org/officeDocument/2006/relationships/hyperlink" Target="consultantplus://offline/ref=72CC718F810042DFB8CDE142A8DD8EC8D40229F501E4B57A7E050FA7C18CA09B1359A0819D8506D18EE089D6B02F2131E1810CFD4EfBK" TargetMode="External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1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4" Type="http://schemas.openxmlformats.org/officeDocument/2006/relationships/hyperlink" Target="consultantplus://offline/ref=72CC718F810042DFB8CDE142A8DD8EC8D40229F501E4B57A7E050FA7C18CA09B1359A0819D8506D18EE089D6B02F2131E1810CFD4EfB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22" Type="http://schemas.openxmlformats.org/officeDocument/2006/relationships/hyperlink" Target="consultantplus://offline/ref=72CC718F810042DFB8CDE142A8DD8EC8D40229F501E4B57A7E050FA7C18CA09B1359A0819D8506D18EE089D6B02F2131E1810CFD4EfBK" TargetMode="External"/><Relationship Id="rId27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30" Type="http://schemas.openxmlformats.org/officeDocument/2006/relationships/hyperlink" Target="consultantplus://offline/ref=72CC718F810042DFB8CDE142A8DD8EC8D40229F501E4B57A7E050FA7C18CA09B1359A0819D8506D18EE089D6B02F2131E1810CFD4EfBK" TargetMode="External"/><Relationship Id="rId35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3" Type="http://schemas.openxmlformats.org/officeDocument/2006/relationships/hyperlink" Target="consultantplus://offline/ref=FD0484E21B51F2E4C45735D5A60574AD70C8A5C92017521E7EC41004D8EF2F0B6322CE1CAB160A0F55B00848A5F026EBBD40DA2A9F80159EBAh2K" TargetMode="External"/><Relationship Id="rId48" Type="http://schemas.openxmlformats.org/officeDocument/2006/relationships/footer" Target="foot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AF93-6DA8-41F0-A653-66B897727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ABF1F-BC3B-48EE-95C0-C8AFEE7B4C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51E3E-4F2B-4BCE-A98D-3BA92B06B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BFCC28-EDCD-47AC-BB70-130B4A48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32171</Words>
  <Characters>183375</Characters>
  <Application>Microsoft Office Word</Application>
  <DocSecurity>0</DocSecurity>
  <Lines>1528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215116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Васильчук Анастасия Игоревна</dc:creator>
  <cp:lastModifiedBy>Фадеева Алена Михайловна</cp:lastModifiedBy>
  <cp:revision>24</cp:revision>
  <cp:lastPrinted>2021-02-12T09:16:00Z</cp:lastPrinted>
  <dcterms:created xsi:type="dcterms:W3CDTF">2021-02-09T04:49:00Z</dcterms:created>
  <dcterms:modified xsi:type="dcterms:W3CDTF">2021-02-12T09:16:00Z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