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d"/>
        <w:spacing w:line="360" w:lineRule="auto"/>
        <w:ind w:left="4820" w:firstLine="0"/>
        <w:rPr>
          <w:rFonts w:ascii="PT Astra Serif" w:hAnsi="PT Astra Serif"/>
        </w:rPr>
      </w:pPr>
      <w:r>
        <w:rPr>
          <w:rFonts w:ascii="PT Astra Serif" w:hAnsi="PT Astra Serif"/>
        </w:rPr>
        <w:t>УТВЕРЖДЕН</w:t>
      </w:r>
    </w:p>
    <w:p>
      <w:pPr>
        <w:pStyle w:val="ad"/>
        <w:spacing w:line="240" w:lineRule="auto"/>
        <w:ind w:left="4820" w:firstLine="0"/>
        <w:rPr>
          <w:rFonts w:ascii="PT Astra Serif" w:hAnsi="PT Astra Serif"/>
        </w:rPr>
      </w:pPr>
      <w:r>
        <w:rPr>
          <w:rFonts w:ascii="PT Astra Serif" w:hAnsi="PT Astra Serif"/>
        </w:rPr>
        <w:t xml:space="preserve">постановлением </w:t>
      </w:r>
    </w:p>
    <w:p>
      <w:pPr>
        <w:pStyle w:val="ad"/>
        <w:spacing w:line="240" w:lineRule="auto"/>
        <w:ind w:left="4820" w:firstLine="0"/>
        <w:rPr>
          <w:rFonts w:ascii="PT Astra Serif" w:hAnsi="PT Astra Serif"/>
        </w:rPr>
      </w:pPr>
      <w:r>
        <w:rPr>
          <w:rFonts w:ascii="PT Astra Serif" w:hAnsi="PT Astra Serif"/>
        </w:rPr>
        <w:t>Администрации Тазовского района</w:t>
      </w:r>
    </w:p>
    <w:p>
      <w:pPr>
        <w:autoSpaceDE w:val="0"/>
        <w:autoSpaceDN w:val="0"/>
        <w:adjustRightInd w:val="0"/>
        <w:spacing w:after="0" w:line="240" w:lineRule="auto"/>
        <w:ind w:left="4820"/>
        <w:outlineLvl w:val="1"/>
        <w:rPr>
          <w:rFonts w:ascii="PT Astra Serif" w:eastAsia="Times New Roman" w:hAnsi="PT Astra Serif" w:cs="Times New Roman"/>
          <w:sz w:val="28"/>
          <w:szCs w:val="28"/>
        </w:rPr>
      </w:pPr>
      <w:r>
        <w:rPr>
          <w:rFonts w:ascii="PT Astra Serif" w:eastAsia="Times New Roman" w:hAnsi="PT Astra Serif" w:cs="Times New Roman"/>
          <w:sz w:val="28"/>
          <w:szCs w:val="28"/>
        </w:rPr>
        <w:t>от 14 декабря 2020 года № 84-п</w:t>
      </w:r>
      <w:bookmarkStart w:id="0" w:name="_GoBack"/>
      <w:bookmarkEnd w:id="0"/>
    </w:p>
    <w:p>
      <w:pPr>
        <w:autoSpaceDE w:val="0"/>
        <w:autoSpaceDN w:val="0"/>
        <w:adjustRightInd w:val="0"/>
        <w:spacing w:after="0" w:line="240" w:lineRule="auto"/>
        <w:ind w:left="5103"/>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bCs/>
          <w:iCs/>
          <w:color w:val="000000"/>
          <w:sz w:val="28"/>
          <w:szCs w:val="28"/>
        </w:rPr>
        <w:t xml:space="preserve">«Принятие решения о подготовке документации по планировке территории </w:t>
      </w:r>
      <w:r>
        <w:rPr>
          <w:rFonts w:ascii="PT Astra Serif" w:hAnsi="PT Astra Serif" w:cs="PT Astra Serif"/>
          <w:b/>
          <w:bCs/>
          <w:sz w:val="28"/>
          <w:szCs w:val="28"/>
        </w:rPr>
        <w:t>на территории муниципального округа Тазовский район  Ямало-Ненецкого автономного округа</w:t>
      </w:r>
      <w:r>
        <w:rPr>
          <w:rFonts w:ascii="PT Astra Serif" w:hAnsi="PT Astra Serif" w:cs="Times New Roman"/>
          <w:b/>
          <w:bCs/>
          <w:iCs/>
          <w:color w:val="000000"/>
          <w:sz w:val="28"/>
          <w:szCs w:val="28"/>
        </w:rPr>
        <w:t>»</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5"/>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lang w:val="en-US"/>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center"/>
        <w:outlineLvl w:val="2"/>
        <w:rPr>
          <w:rFonts w:ascii="PT Astra Serif" w:hAnsi="PT Astra Serif" w:cs="Times New Roman"/>
          <w:sz w:val="28"/>
          <w:szCs w:val="28"/>
          <w:lang w:val="en-US"/>
        </w:rPr>
      </w:pPr>
    </w:p>
    <w:p>
      <w:pPr>
        <w:pStyle w:val="af"/>
        <w:numPr>
          <w:ilvl w:val="0"/>
          <w:numId w:val="6"/>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w:t>
      </w:r>
      <w:r>
        <w:rPr>
          <w:rFonts w:ascii="PT Astra Serif" w:hAnsi="PT Astra Serif" w:cs="Times New Roman"/>
          <w:bCs/>
          <w:iCs/>
          <w:color w:val="000000"/>
          <w:sz w:val="28"/>
          <w:szCs w:val="28"/>
        </w:rPr>
        <w:t xml:space="preserve">Принятие решения о подготовке документации по планировке территории </w:t>
      </w:r>
      <w:r>
        <w:rPr>
          <w:rFonts w:ascii="PT Astra Serif" w:hAnsi="PT Astra Serif" w:cs="PT Astra Serif"/>
          <w:bCs/>
          <w:sz w:val="28"/>
          <w:szCs w:val="28"/>
        </w:rPr>
        <w:t>на территории муниципального округа Тазовский район                                   Ямало-Ненецкого автономного округа</w:t>
      </w:r>
      <w:r>
        <w:rPr>
          <w:rFonts w:ascii="PT Astra Serif" w:hAnsi="PT Astra Serif" w:cs="Times New Roman"/>
          <w:bCs/>
          <w:iCs/>
          <w:color w:val="000000"/>
          <w:sz w:val="28"/>
          <w:szCs w:val="28"/>
        </w:rPr>
        <w:t xml:space="preserve">» </w:t>
      </w:r>
      <w:r>
        <w:rPr>
          <w:rFonts w:ascii="PT Astra Serif" w:hAnsi="PT Astra Serif" w:cs="Times New Roman"/>
          <w:sz w:val="28"/>
          <w:szCs w:val="28"/>
        </w:rPr>
        <w:t>(далее – регламент, муниципальная услуга)</w:t>
      </w:r>
      <w:r>
        <w:rPr>
          <w:rFonts w:ascii="PT Astra Serif" w:hAnsi="PT Astra Serif" w:cs="Times New Roman"/>
          <w:i/>
          <w:sz w:val="28"/>
          <w:szCs w:val="28"/>
        </w:rPr>
        <w:t xml:space="preserve"> </w:t>
      </w:r>
      <w:r>
        <w:rPr>
          <w:rFonts w:ascii="PT Astra Serif" w:hAnsi="PT Astra Serif" w:cs="Times New Roman"/>
          <w:sz w:val="28"/>
          <w:szCs w:val="28"/>
        </w:rPr>
        <w:t xml:space="preserve">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1"/>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tabs>
          <w:tab w:val="left" w:pos="1134"/>
        </w:tabs>
        <w:autoSpaceDE w:val="0"/>
        <w:autoSpaceDN w:val="0"/>
        <w:adjustRightInd w:val="0"/>
        <w:spacing w:after="0" w:line="240" w:lineRule="auto"/>
        <w:ind w:left="0" w:firstLine="709"/>
        <w:jc w:val="both"/>
        <w:rPr>
          <w:rFonts w:ascii="PT Astra Serif" w:hAnsi="PT Astra Serif" w:cs="Times New Roman"/>
          <w:strike/>
          <w:sz w:val="28"/>
          <w:szCs w:val="28"/>
        </w:rPr>
      </w:pPr>
      <w:r>
        <w:rPr>
          <w:rFonts w:ascii="PT Astra Serif" w:hAnsi="PT Astra Serif" w:cs="Times New Roman"/>
          <w:sz w:val="28"/>
          <w:szCs w:val="28"/>
        </w:rPr>
        <w:t>Заявителями на предоставление муниципальной услуги (далее – заявители) являются физические (в том числе индивидуальные предприниматели) и юридические лица заинтересованные в подготовке документации по планировке территории за исключением лиц, указанных                       в части 1.1 статьи 45 Градостроительного кодекса Российской Федерации (далее - ГрК РФ).</w:t>
      </w:r>
    </w:p>
    <w:p>
      <w:pPr>
        <w:pStyle w:val="af"/>
        <w:numPr>
          <w:ilvl w:val="1"/>
          <w:numId w:val="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(далее-законный представитель, представитель заявителя).</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Требования к порядку информирования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отдела архитектуры и градостроительства Администрации Тазовского района (далее – Уполномоченный орган), предоставляющего муниципальную услугу «</w:t>
      </w:r>
      <w:r>
        <w:rPr>
          <w:rFonts w:ascii="PT Astra Serif" w:hAnsi="PT Astra Serif"/>
          <w:bCs/>
          <w:iCs/>
          <w:color w:val="000000"/>
        </w:rPr>
        <w:t>Принятие решения о подготовке документации по планировке территории»</w:t>
      </w:r>
      <w:r>
        <w:rPr>
          <w:rFonts w:ascii="PT Astra Serif" w:hAnsi="PT Astra Serif"/>
        </w:rPr>
        <w:t>, работниками многофункционального центра предоставления государственных                                             и муниципальных услуг (далее – МФЦ);</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7"/>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Тазовского района </w:t>
      </w:r>
      <w:hyperlink r:id="rId9" w:history="1">
        <w:r>
          <w:rPr>
            <w:rFonts w:ascii="PT Astra Serif" w:hAnsi="PT Astra Serif"/>
          </w:rPr>
          <w:t>http://www.tasu.ru</w:t>
        </w:r>
      </w:hyperlink>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и едином официальном интернет-портале сети МФЦ в Ямало-Ненецком автономном округе в информационно-телекоммуникационной сети Интернет: </w:t>
      </w:r>
      <w:hyperlink r:id="rId10"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7"/>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1"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2"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w:t>
      </w:r>
    </w:p>
    <w:p>
      <w:pPr>
        <w:pStyle w:val="ConsPlusNormal"/>
        <w:ind w:firstLine="708"/>
        <w:jc w:val="both"/>
        <w:rPr>
          <w:rFonts w:ascii="PT Astra Serif" w:hAnsi="PT Astra Serif"/>
        </w:rPr>
      </w:pPr>
      <w:r>
        <w:rPr>
          <w:rFonts w:ascii="PT Astra Serif" w:hAnsi="PT Astra Serif"/>
        </w:rPr>
        <w:t>На Едином портале и /или Региональном портале размещается следующая информация:</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исчерпывающий </w:t>
      </w:r>
      <w:r>
        <w:rPr>
          <w:rFonts w:ascii="PT Astra Serif" w:hAnsi="PT Astra Serif" w:cs="Times New Roman"/>
          <w:spacing w:val="-20"/>
          <w:sz w:val="28"/>
          <w:szCs w:val="28"/>
        </w:rPr>
        <w:t>пе</w:t>
      </w:r>
      <w:r>
        <w:rPr>
          <w:rFonts w:ascii="PT Astra Serif" w:hAnsi="PT Astra Serif" w:cs="Times New Roman"/>
          <w:sz w:val="28"/>
          <w:szCs w:val="28"/>
        </w:rPr>
        <w:t>реч</w:t>
      </w:r>
      <w:r>
        <w:rPr>
          <w:rFonts w:ascii="PT Astra Serif" w:hAnsi="PT Astra Serif" w:cs="Times New Roman"/>
          <w:spacing w:val="-20"/>
          <w:sz w:val="28"/>
          <w:szCs w:val="28"/>
        </w:rPr>
        <w:t>ень документов,</w:t>
      </w:r>
      <w:r>
        <w:rPr>
          <w:rFonts w:ascii="PT Astra Serif" w:hAnsi="PT Astra Serif" w:cs="Times New Roman"/>
          <w:sz w:val="28"/>
          <w:szCs w:val="28"/>
        </w:rPr>
        <w:t xml:space="preserve">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исчерпывающий перечень оснований для приостановления или отказа                        в предоставлении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1"/>
          <w:numId w:val="8"/>
        </w:numPr>
        <w:tabs>
          <w:tab w:val="left" w:pos="1276"/>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
    <w:p>
      <w:pPr>
        <w:pStyle w:val="af"/>
        <w:numPr>
          <w:ilvl w:val="1"/>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w:t>
      </w:r>
      <w:r>
        <w:rPr>
          <w:rFonts w:ascii="PT Astra Serif" w:hAnsi="PT Astra Serif"/>
          <w:sz w:val="28"/>
          <w:szCs w:val="28"/>
        </w:rPr>
        <w:t>Тазовского района</w:t>
      </w:r>
      <w:r>
        <w:rPr>
          <w:rFonts w:ascii="PT Astra Serif" w:hAnsi="PT Astra Serif" w:cs="Times New Roman"/>
          <w:sz w:val="28"/>
          <w:szCs w:val="28"/>
        </w:rPr>
        <w:t xml:space="preserve"> (далее – соглашение о взаимодействии)               в секторах информирования МФЦ, на сайте МФЦ, по телефону контакт-центра МФЦ:</w:t>
      </w:r>
    </w:p>
    <w:p>
      <w:pPr>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5"/>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8"/>
        </w:numPr>
        <w:tabs>
          <w:tab w:val="left" w:pos="1134"/>
        </w:tabs>
        <w:autoSpaceDE w:val="0"/>
        <w:autoSpaceDN w:val="0"/>
        <w:adjustRightInd w:val="0"/>
        <w:spacing w:after="0" w:line="240" w:lineRule="auto"/>
        <w:ind w:left="0" w:firstLine="709"/>
        <w:jc w:val="both"/>
        <w:rPr>
          <w:rFonts w:ascii="PT Astra Serif" w:hAnsi="PT Astra Serif" w:cs="Times New Roman"/>
          <w:i/>
          <w:sz w:val="28"/>
          <w:szCs w:val="28"/>
        </w:rPr>
      </w:pPr>
      <w:r>
        <w:rPr>
          <w:rFonts w:ascii="PT Astra Serif" w:hAnsi="PT Astra Serif" w:cs="Times New Roman"/>
          <w:sz w:val="28"/>
          <w:szCs w:val="28"/>
        </w:rPr>
        <w:t xml:space="preserve">Наименование муниципальной услуги </w:t>
      </w:r>
      <w:r>
        <w:rPr>
          <w:rFonts w:ascii="PT Astra Serif" w:hAnsi="PT Astra Serif" w:cs="Times New Roman"/>
          <w:bCs/>
          <w:iCs/>
          <w:color w:val="000000"/>
          <w:sz w:val="28"/>
          <w:szCs w:val="28"/>
        </w:rPr>
        <w:t>«Принятие решения                                      о подготовке документации по планировке территории</w:t>
      </w:r>
      <w:r>
        <w:rPr>
          <w:rFonts w:ascii="PT Astra Serif" w:hAnsi="PT Astra Serif" w:cs="Times New Roman"/>
          <w:bCs/>
          <w:iCs/>
          <w:sz w:val="28"/>
          <w:szCs w:val="28"/>
        </w:rPr>
        <w:t>»</w:t>
      </w:r>
      <w:r>
        <w:rPr>
          <w:rFonts w:ascii="PT Astra Serif" w:hAnsi="PT Astra Serif" w:cs="Times New Roman"/>
          <w:i/>
          <w:sz w:val="28"/>
          <w:szCs w:val="28"/>
        </w:rPr>
        <w:t>.</w:t>
      </w:r>
    </w:p>
    <w:p>
      <w:pPr>
        <w:pStyle w:val="ConsPlusNormal"/>
        <w:ind w:firstLine="567"/>
        <w:jc w:val="both"/>
        <w:rPr>
          <w:rFonts w:ascii="PT Astra Serif" w:hAnsi="PT Astra Serif"/>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Cs/>
          <w:sz w:val="28"/>
          <w:szCs w:val="28"/>
        </w:rPr>
      </w:pPr>
    </w:p>
    <w:p>
      <w:pPr>
        <w:pStyle w:val="af"/>
        <w:numPr>
          <w:ilvl w:val="0"/>
          <w:numId w:val="8"/>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Муниципальную услугу предоставляет </w:t>
      </w:r>
      <w:r>
        <w:rPr>
          <w:rFonts w:ascii="PT Astra Serif" w:hAnsi="PT Astra Serif"/>
          <w:sz w:val="28"/>
          <w:szCs w:val="28"/>
        </w:rPr>
        <w:t>Администрация Тазовского района</w:t>
      </w:r>
      <w:r>
        <w:rPr>
          <w:rFonts w:ascii="PT Astra Serif" w:hAnsi="PT Astra Serif" w:cs="Times New Roman"/>
          <w:sz w:val="28"/>
          <w:szCs w:val="28"/>
        </w:rPr>
        <w:t>.</w:t>
      </w:r>
    </w:p>
    <w:p>
      <w:pPr>
        <w:pStyle w:val="11"/>
        <w:widowControl w:val="0"/>
        <w:tabs>
          <w:tab w:val="left" w:pos="709"/>
          <w:tab w:val="left" w:pos="1134"/>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w:t>
      </w:r>
    </w:p>
    <w:p>
      <w:pPr>
        <w:pStyle w:val="11"/>
        <w:widowControl w:val="0"/>
        <w:tabs>
          <w:tab w:val="left" w:pos="709"/>
          <w:tab w:val="left" w:pos="1134"/>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отдел архитектуры и градостроительства Администрации Тазовского района</w:t>
      </w:r>
      <w:r>
        <w:rPr>
          <w:rFonts w:ascii="PT Astra Serif" w:hAnsi="PT Astra Serif"/>
          <w:i/>
          <w:sz w:val="28"/>
          <w:szCs w:val="28"/>
        </w:rPr>
        <w:t>.</w:t>
      </w:r>
    </w:p>
    <w:p>
      <w:pPr>
        <w:pStyle w:val="af"/>
        <w:numPr>
          <w:ilvl w:val="1"/>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При предоставлении муниципальной услуги Уполномоченный                        орган в целях получения документов (информации), либо осуществления </w:t>
      </w:r>
      <w:r>
        <w:rPr>
          <w:rFonts w:ascii="PT Astra Serif" w:hAnsi="PT Astra Serif" w:cs="Times New Roman"/>
          <w:sz w:val="28"/>
          <w:szCs w:val="28"/>
        </w:rPr>
        <w:lastRenderedPageBreak/>
        <w:t>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f"/>
        <w:numPr>
          <w:ilvl w:val="1"/>
          <w:numId w:val="5"/>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Федеральная налоговая служба;</w:t>
      </w:r>
    </w:p>
    <w:p>
      <w:pPr>
        <w:pStyle w:val="af"/>
        <w:numPr>
          <w:ilvl w:val="1"/>
          <w:numId w:val="5"/>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eastAsia="Calibri" w:hAnsi="PT Astra Serif" w:cs="Times New Roman"/>
          <w:sz w:val="28"/>
          <w:szCs w:val="28"/>
          <w:lang w:eastAsia="x-none"/>
        </w:rPr>
        <w:t>Федеральная служба государственной регистрации, кадастра                            и картографии.</w:t>
      </w:r>
    </w:p>
    <w:p>
      <w:pPr>
        <w:pStyle w:val="af"/>
        <w:numPr>
          <w:ilvl w:val="1"/>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1"/>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Pr>
          <w:rFonts w:ascii="PT Astra Serif" w:hAnsi="PT Astra Serif"/>
          <w:sz w:val="28"/>
          <w:szCs w:val="28"/>
        </w:rPr>
        <w:t>решением Думы Тазовского района.</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134"/>
        </w:tabs>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rPr>
        <w:t>Процедура предоставления муниципальной услуги</w:t>
      </w:r>
      <w:r>
        <w:rPr>
          <w:rFonts w:ascii="PT Astra Serif" w:hAnsi="PT Astra Serif" w:cs="Times New Roman"/>
          <w:i/>
          <w:color w:val="FF0000"/>
          <w:sz w:val="28"/>
          <w:szCs w:val="28"/>
        </w:rPr>
        <w:t xml:space="preserve"> </w:t>
      </w:r>
      <w:r>
        <w:rPr>
          <w:rFonts w:ascii="PT Astra Serif" w:eastAsia="Times New Roman" w:hAnsi="PT Astra Serif" w:cs="Times New Roman"/>
          <w:sz w:val="28"/>
          <w:szCs w:val="28"/>
        </w:rPr>
        <w:t xml:space="preserve">завершается получением заявителем </w:t>
      </w:r>
      <w:r>
        <w:rPr>
          <w:rFonts w:ascii="PT Astra Serif" w:hAnsi="PT Astra Serif" w:cs="Times New Roman"/>
          <w:sz w:val="28"/>
          <w:szCs w:val="28"/>
        </w:rPr>
        <w:t>решения Уполномоченного органа о подготовке документации по планировке территории в форме постановления Администрации Тазовского района (далее – решение о подготовке ДПТ,</w:t>
      </w:r>
      <w:r>
        <w:rPr>
          <w:rFonts w:ascii="PT Astra Serif" w:hAnsi="PT Astra Serif" w:cs="Times New Roman"/>
          <w:color w:val="000000"/>
          <w:sz w:val="28"/>
          <w:szCs w:val="28"/>
        </w:rPr>
        <w:t xml:space="preserve"> решение о предоставлении муниципальной услуги)</w:t>
      </w:r>
      <w:r>
        <w:rPr>
          <w:rFonts w:ascii="PT Astra Serif" w:hAnsi="PT Astra Serif" w:cs="Times New Roman"/>
          <w:sz w:val="28"/>
          <w:szCs w:val="28"/>
        </w:rPr>
        <w:t>.</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d"/>
        <w:numPr>
          <w:ilvl w:val="0"/>
          <w:numId w:val="8"/>
        </w:numPr>
        <w:tabs>
          <w:tab w:val="left" w:pos="1134"/>
        </w:tabs>
        <w:spacing w:line="240" w:lineRule="auto"/>
        <w:ind w:left="0" w:firstLine="709"/>
        <w:rPr>
          <w:rFonts w:ascii="PT Astra Serif" w:hAnsi="PT Astra Serif"/>
          <w:color w:val="000000"/>
          <w:u w:val="single"/>
        </w:rPr>
      </w:pPr>
      <w:r>
        <w:rPr>
          <w:rFonts w:ascii="PT Astra Serif" w:hAnsi="PT Astra Serif"/>
          <w:color w:val="000000"/>
        </w:rPr>
        <w:t xml:space="preserve">Срок предоставления муниципальной услуги с учетом необходимости обращения в организации, участвующие в предоставлении муниципальной услуги, 30 календарных </w:t>
      </w:r>
      <w:r>
        <w:rPr>
          <w:rFonts w:ascii="PT Astra Serif" w:hAnsi="PT Astra Serif"/>
          <w:bCs/>
          <w:color w:val="000000"/>
        </w:rPr>
        <w:t xml:space="preserve">дней </w:t>
      </w:r>
      <w:r>
        <w:rPr>
          <w:rFonts w:ascii="PT Astra Serif" w:hAnsi="PT Astra Serif"/>
          <w:color w:val="000000"/>
        </w:rPr>
        <w:t xml:space="preserve">с момента регистрации запроса (заявления, обращения) и иных документов, необходимых для предоставления муниципальной услуги, в </w:t>
      </w:r>
      <w:r>
        <w:rPr>
          <w:rFonts w:ascii="PT Astra Serif" w:hAnsi="PT Astra Serif"/>
        </w:rPr>
        <w:t>Уполномоченном органе</w:t>
      </w:r>
      <w:r>
        <w:rPr>
          <w:rFonts w:ascii="PT Astra Serif" w:hAnsi="PT Astra Serif"/>
          <w:color w:val="000000"/>
        </w:rPr>
        <w:t>.</w:t>
      </w:r>
    </w:p>
    <w:p>
      <w:pPr>
        <w:pStyle w:val="aa"/>
        <w:numPr>
          <w:ilvl w:val="1"/>
          <w:numId w:val="8"/>
        </w:numPr>
        <w:tabs>
          <w:tab w:val="left" w:pos="1276"/>
        </w:tabs>
        <w:ind w:left="0" w:firstLine="709"/>
        <w:rPr>
          <w:rFonts w:ascii="PT Astra Serif" w:hAnsi="PT Astra Serif" w:cs="Times New Roman"/>
        </w:rPr>
      </w:pPr>
      <w:r>
        <w:rPr>
          <w:rFonts w:ascii="PT Astra Serif" w:hAnsi="PT Astra Serif" w:cs="Times New Roman"/>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(с момента реализации технической возможности) либо через МФЦ, срок предоставления муниципальной услуги исчисляется со дня регистрации запроса                                                 в Уполномоченном органе.</w:t>
      </w:r>
    </w:p>
    <w:p>
      <w:pPr>
        <w:pStyle w:val="af"/>
        <w:numPr>
          <w:ilvl w:val="1"/>
          <w:numId w:val="8"/>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не более 15 минут </w:t>
      </w:r>
      <w:r>
        <w:rPr>
          <w:rFonts w:ascii="PT Astra Serif" w:hAnsi="PT Astra Serif"/>
          <w:sz w:val="28"/>
          <w:szCs w:val="28"/>
        </w:rPr>
        <w:t>в день обращения заявителя</w:t>
      </w:r>
      <w:r>
        <w:rPr>
          <w:rFonts w:ascii="PT Astra Serif" w:hAnsi="PT Astra Serif" w:cs="Times New Roman"/>
          <w:sz w:val="28"/>
          <w:szCs w:val="28"/>
        </w:rPr>
        <w:t>;</w:t>
      </w:r>
    </w:p>
    <w:p>
      <w:pPr>
        <w:pStyle w:val="af"/>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 посредством почтового отправления – 1 рабочий  день со дня регистрации результата предоставления муниципальной услуги. </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sz w:val="28"/>
          <w:szCs w:val="28"/>
        </w:rPr>
      </w:pPr>
      <w:r>
        <w:rPr>
          <w:rFonts w:ascii="PT Astra Serif" w:hAnsi="PT Astra Serif" w:cs="Times New Roman"/>
          <w:b/>
          <w:sz w:val="28"/>
          <w:szCs w:val="28"/>
        </w:rPr>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ind w:firstLine="709"/>
        <w:jc w:val="center"/>
        <w:outlineLvl w:val="2"/>
        <w:rPr>
          <w:rFonts w:ascii="PT Astra Serif" w:hAnsi="PT Astra Serif" w:cs="Times New Roman"/>
          <w:b/>
          <w:sz w:val="28"/>
          <w:szCs w:val="28"/>
        </w:rPr>
      </w:pPr>
    </w:p>
    <w:p>
      <w:pPr>
        <w:pStyle w:val="af"/>
        <w:numPr>
          <w:ilvl w:val="0"/>
          <w:numId w:val="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Pr>
          <w:rFonts w:ascii="PT Astra Serif" w:hAnsi="PT Astra Serif" w:cs="Times New Roman"/>
          <w:sz w:val="28"/>
          <w:szCs w:val="28"/>
        </w:rPr>
        <w:t>на официальном сайте Тазовского района, в разделе «Градостроительная деятельность», на Едином портале и Региональном портале.</w:t>
      </w:r>
    </w:p>
    <w:p>
      <w:pPr>
        <w:autoSpaceDE w:val="0"/>
        <w:autoSpaceDN w:val="0"/>
        <w:adjustRightInd w:val="0"/>
        <w:spacing w:after="0" w:line="240" w:lineRule="auto"/>
        <w:jc w:val="center"/>
        <w:rPr>
          <w:rFonts w:ascii="PT Astra Serif" w:hAnsi="PT Astra Serif" w:cs="Times New Roman"/>
          <w:sz w:val="28"/>
          <w:szCs w:val="28"/>
        </w:rPr>
      </w:pPr>
    </w:p>
    <w:p>
      <w:pPr>
        <w:pStyle w:val="ConsPlusNormal"/>
        <w:jc w:val="center"/>
        <w:rPr>
          <w:rFonts w:ascii="PT Astra Serif" w:hAnsi="PT Astra Serif"/>
          <w:b/>
          <w:bCs/>
        </w:rPr>
      </w:pPr>
      <w:r>
        <w:rPr>
          <w:rFonts w:ascii="PT Astra Serif" w:hAnsi="PT Astra Serif"/>
          <w:b/>
          <w:bCs/>
        </w:rPr>
        <w:t>Исчерпывающий перечень документов, необходимых в соответствии</w:t>
      </w:r>
    </w:p>
    <w:p>
      <w:pPr>
        <w:pStyle w:val="ConsPlusNormal"/>
        <w:jc w:val="center"/>
        <w:rPr>
          <w:rFonts w:ascii="PT Astra Serif" w:hAnsi="PT Astra Serif"/>
          <w:b/>
          <w:bCs/>
        </w:rPr>
      </w:pPr>
      <w:r>
        <w:rPr>
          <w:rFonts w:ascii="PT Astra Serif" w:hAnsi="PT Astra Serif"/>
          <w:b/>
          <w:bCs/>
        </w:rPr>
        <w:t>с нормативными правовыми актами для предоставления муниципальной услуги и услуг, которые являются необходимыми и обязательными</w:t>
      </w:r>
    </w:p>
    <w:p>
      <w:pPr>
        <w:pStyle w:val="ConsPlusNormal"/>
        <w:jc w:val="center"/>
        <w:rPr>
          <w:rFonts w:ascii="PT Astra Serif" w:hAnsi="PT Astra Serif"/>
          <w:b/>
          <w:bCs/>
        </w:rPr>
      </w:pPr>
      <w:r>
        <w:rPr>
          <w:rFonts w:ascii="PT Astra Serif" w:hAnsi="PT Astra Serif"/>
          <w:b/>
          <w:bCs/>
        </w:rPr>
        <w:t>для предоставления муниципальной услуги, подлежащих представлению заявителем, способы их получения заявителем, в том числе</w:t>
      </w:r>
    </w:p>
    <w:p>
      <w:pPr>
        <w:pStyle w:val="ConsPlusNormal"/>
        <w:jc w:val="center"/>
        <w:rPr>
          <w:rFonts w:ascii="PT Astra Serif" w:hAnsi="PT Astra Serif"/>
          <w:b/>
          <w:bCs/>
        </w:rPr>
      </w:pPr>
      <w:r>
        <w:rPr>
          <w:rFonts w:ascii="PT Astra Serif" w:hAnsi="PT Astra Serif"/>
          <w:b/>
          <w:bCs/>
        </w:rPr>
        <w:t>в электронной форме, порядок их представления</w:t>
      </w:r>
    </w:p>
    <w:p>
      <w:pPr>
        <w:pStyle w:val="ConsPlusNormal"/>
        <w:jc w:val="center"/>
        <w:rPr>
          <w:rFonts w:ascii="PT Astra Serif" w:hAnsi="PT Astra Serif"/>
        </w:rPr>
      </w:pPr>
    </w:p>
    <w:p>
      <w:pPr>
        <w:pStyle w:val="af"/>
        <w:numPr>
          <w:ilvl w:val="0"/>
          <w:numId w:val="8"/>
        </w:numPr>
        <w:tabs>
          <w:tab w:val="left" w:pos="1134"/>
        </w:tabs>
        <w:spacing w:after="0" w:line="240" w:lineRule="auto"/>
        <w:ind w:left="0" w:firstLine="709"/>
        <w:jc w:val="both"/>
        <w:rPr>
          <w:rFonts w:ascii="PT Astra Serif" w:eastAsia="Calibri" w:hAnsi="PT Astra Serif" w:cs="Times New Roman"/>
          <w:i/>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 xml:space="preserve">(далее – заявление, запрос). </w:t>
      </w:r>
    </w:p>
    <w:p>
      <w:pPr>
        <w:pStyle w:val="af"/>
        <w:numPr>
          <w:ilvl w:val="1"/>
          <w:numId w:val="8"/>
        </w:numPr>
        <w:tabs>
          <w:tab w:val="left" w:pos="1276"/>
        </w:tabs>
        <w:spacing w:after="0" w:line="240" w:lineRule="auto"/>
        <w:ind w:left="0" w:firstLine="709"/>
        <w:jc w:val="both"/>
        <w:rPr>
          <w:rFonts w:ascii="PT Astra Serif" w:hAnsi="PT Astra Serif" w:cs="PT Astra Serif"/>
          <w:sz w:val="28"/>
          <w:szCs w:val="28"/>
        </w:rPr>
      </w:pPr>
      <w:r>
        <w:rPr>
          <w:rFonts w:ascii="PT Astra Serif" w:eastAsia="Calibri" w:hAnsi="PT Astra Serif" w:cs="Times New Roman"/>
          <w:sz w:val="28"/>
          <w:szCs w:val="28"/>
        </w:rPr>
        <w:t xml:space="preserve">Заявление о предоставлении муниципальной услуги предоставляется в свободной форме. </w:t>
      </w:r>
      <w:r>
        <w:rPr>
          <w:rFonts w:ascii="PT Astra Serif" w:hAnsi="PT Astra Serif" w:cs="PT Astra Serif"/>
          <w:sz w:val="28"/>
          <w:szCs w:val="28"/>
        </w:rPr>
        <w:t>В заявлении указывается следующая информация:</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границы территории в отношении которой необходимо подготовить документацию по планировке территории;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вид документации по планировке территории;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цель подготовки документации по планировке территории;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перечень объектов капитального строительства, планируемых                             к размещению, и их основные характеристики ;</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источник финансирования работ по подготовке документации                       по планировке территории;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w:t>
      </w:r>
      <w:r>
        <w:rPr>
          <w:rFonts w:ascii="PT Astra Serif" w:hAnsi="PT Astra Serif" w:cs="PT Astra Serif"/>
          <w:spacing w:val="-20"/>
          <w:sz w:val="28"/>
          <w:szCs w:val="28"/>
        </w:rPr>
        <w:t>планирования предусмотрено в соответствии</w:t>
      </w:r>
      <w:r>
        <w:rPr>
          <w:rFonts w:ascii="PT Astra Serif" w:hAnsi="PT Astra Serif" w:cs="PT Astra Serif"/>
          <w:sz w:val="28"/>
          <w:szCs w:val="28"/>
        </w:rPr>
        <w:t xml:space="preserve"> с законодательством Российской Федерации.</w:t>
      </w:r>
    </w:p>
    <w:p>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eastAsia="Calibri" w:hAnsi="PT Astra Serif" w:cs="Times New Roman"/>
          <w:sz w:val="28"/>
          <w:szCs w:val="28"/>
        </w:rPr>
        <w:t>Рекомендуемая форма заявления приведена в приложении № 1                                   к настоящему регламенту.</w:t>
      </w:r>
    </w:p>
    <w:p>
      <w:pPr>
        <w:pStyle w:val="af"/>
        <w:numPr>
          <w:ilvl w:val="1"/>
          <w:numId w:val="8"/>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представителя заявителя;</w:t>
      </w:r>
    </w:p>
    <w:p>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11"/>
        </w:numPr>
        <w:tabs>
          <w:tab w:val="left" w:pos="1134"/>
        </w:tabs>
        <w:spacing w:after="0" w:line="240" w:lineRule="auto"/>
        <w:ind w:left="0" w:firstLine="709"/>
        <w:jc w:val="both"/>
        <w:rPr>
          <w:rFonts w:ascii="PT Astra Serif" w:eastAsia="Calibri" w:hAnsi="PT Astra Serif" w:cs="Times New Roman"/>
          <w:i/>
          <w:sz w:val="28"/>
          <w:szCs w:val="28"/>
        </w:rPr>
      </w:pPr>
      <w:r>
        <w:rPr>
          <w:rFonts w:ascii="PT Astra Serif" w:eastAsia="Calibri" w:hAnsi="PT Astra Serif" w:cs="Times New Roman"/>
          <w:sz w:val="28"/>
          <w:szCs w:val="28"/>
        </w:rPr>
        <w:lastRenderedPageBreak/>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11"/>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1"/>
          <w:numId w:val="8"/>
        </w:numPr>
        <w:tabs>
          <w:tab w:val="left" w:pos="458"/>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муниципальной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1"/>
          <w:numId w:val="8"/>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прилагаемые к заявлению, которые заявитель должен представить самостоятельно, не предусмотрены.</w:t>
      </w:r>
    </w:p>
    <w:p>
      <w:pPr>
        <w:pStyle w:val="af"/>
        <w:numPr>
          <w:ilvl w:val="1"/>
          <w:numId w:val="8"/>
        </w:numPr>
        <w:tabs>
          <w:tab w:val="left" w:pos="1276"/>
        </w:tabs>
        <w:spacing w:after="0" w:line="240" w:lineRule="auto"/>
        <w:ind w:left="0" w:firstLine="709"/>
        <w:jc w:val="both"/>
        <w:rPr>
          <w:rFonts w:ascii="PT Astra Serif" w:eastAsia="Calibri" w:hAnsi="PT Astra Serif" w:cs="Times New Roman"/>
          <w:sz w:val="28"/>
          <w:szCs w:val="28"/>
        </w:rPr>
      </w:pPr>
      <w:bookmarkStart w:id="1" w:name="sub_44"/>
      <w:bookmarkEnd w:id="1"/>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Исчерпывающий перечень документов, необходимых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highlight w:val="yellow"/>
        </w:rPr>
      </w:pPr>
    </w:p>
    <w:p>
      <w:pPr>
        <w:pStyle w:val="af"/>
        <w:numPr>
          <w:ilvl w:val="0"/>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pPr>
        <w:pStyle w:val="af"/>
        <w:widowControl w:val="0"/>
        <w:numPr>
          <w:ilvl w:val="0"/>
          <w:numId w:val="13"/>
        </w:numPr>
        <w:tabs>
          <w:tab w:val="left" w:pos="1134"/>
        </w:tabs>
        <w:autoSpaceDE w:val="0"/>
        <w:autoSpaceDN w:val="0"/>
        <w:spacing w:after="0" w:line="240" w:lineRule="auto"/>
        <w:ind w:left="0"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выписка из Единого государственного реестра юридических лиц                          или выписка из единого государственного реестра индивидуальных предпринимателей (оригинал в 1 экземпляре).</w:t>
      </w:r>
    </w:p>
    <w:p>
      <w:pPr>
        <w:widowControl w:val="0"/>
        <w:tabs>
          <w:tab w:val="left" w:pos="1134"/>
        </w:tabs>
        <w:autoSpaceDE w:val="0"/>
        <w:autoSpaceDN w:val="0"/>
        <w:spacing w:after="0" w:line="240" w:lineRule="auto"/>
        <w:ind w:firstLine="709"/>
        <w:contextualSpacing/>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 xml:space="preserve">Заявитель может получить данный документ в Федеральной налоговой службе Российской Федерации (ее территориальных подразделениях) в рамках предоставления государственной услуги «Предоставление сведений                                 </w:t>
      </w:r>
      <w:r>
        <w:rPr>
          <w:rFonts w:ascii="PT Astra Serif" w:eastAsia="Calibri" w:hAnsi="PT Astra Serif" w:cs="Times New Roman"/>
          <w:sz w:val="28"/>
          <w:szCs w:val="28"/>
          <w:lang w:eastAsia="x-none"/>
        </w:rPr>
        <w:lastRenderedPageBreak/>
        <w:t>и документов, содержащихся в Едином государственном реестре юридических лиц и Едином государственном реестре индивидуальных предпринимателей».</w:t>
      </w:r>
    </w:p>
    <w:p>
      <w:pPr>
        <w:pStyle w:val="af"/>
        <w:widowControl w:val="0"/>
        <w:numPr>
          <w:ilvl w:val="0"/>
          <w:numId w:val="13"/>
        </w:numPr>
        <w:tabs>
          <w:tab w:val="left" w:pos="1134"/>
        </w:tabs>
        <w:autoSpaceDE w:val="0"/>
        <w:autoSpaceDN w:val="0"/>
        <w:spacing w:after="0" w:line="240" w:lineRule="auto"/>
        <w:ind w:left="0"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выписка из Единого государственного реестра прав на недвижимое имущество и сделок с ним на земельные участки, здания, строения, сооружения, объекты незавершенного строительства (оригинал в 1 экземпляре).</w:t>
      </w:r>
    </w:p>
    <w:p>
      <w:pPr>
        <w:widowControl w:val="0"/>
        <w:tabs>
          <w:tab w:val="left" w:pos="993"/>
        </w:tabs>
        <w:autoSpaceDE w:val="0"/>
        <w:autoSpaceDN w:val="0"/>
        <w:spacing w:after="0" w:line="240" w:lineRule="auto"/>
        <w:ind w:firstLine="709"/>
        <w:contextualSpacing/>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Заявитель может получить данный документ в Федеральной службе государственной регистрации, кадастра и картографии (ее территориальных подразделениях) в рамках предоставления государственной услуги «Предоставление сведений, содержащихся в Едином государственном реестре недвижимости».</w:t>
      </w:r>
    </w:p>
    <w:p>
      <w:pPr>
        <w:pStyle w:val="af"/>
        <w:widowControl w:val="0"/>
        <w:numPr>
          <w:ilvl w:val="1"/>
          <w:numId w:val="8"/>
        </w:numPr>
        <w:tabs>
          <w:tab w:val="left" w:pos="1418"/>
        </w:tabs>
        <w:autoSpaceDE w:val="0"/>
        <w:autoSpaceDN w:val="0"/>
        <w:spacing w:after="0" w:line="240" w:lineRule="auto"/>
        <w:ind w:left="0"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Непредставление заявителем документов, указанных в пункте 10 настоящего регламента, не является основанием для отказа в предоставлении муниципальной услуги.</w:t>
      </w:r>
    </w:p>
    <w:p>
      <w:pPr>
        <w:spacing w:after="0" w:line="240" w:lineRule="auto"/>
        <w:ind w:firstLine="709"/>
        <w:jc w:val="both"/>
        <w:rPr>
          <w:rFonts w:ascii="PT Astra Serif" w:eastAsia="Calibri" w:hAnsi="PT Astra Serif" w:cs="Times New Roman"/>
          <w:sz w:val="28"/>
          <w:szCs w:val="28"/>
          <w:lang w:eastAsia="x-none"/>
        </w:rPr>
      </w:pPr>
      <w:r>
        <w:rPr>
          <w:rFonts w:ascii="PT Astra Serif" w:eastAsia="Calibri" w:hAnsi="PT Astra Serif" w:cs="Times New Roman"/>
          <w:sz w:val="28"/>
          <w:szCs w:val="28"/>
          <w:lang w:val="x-none" w:eastAsia="x-none"/>
        </w:rPr>
        <w:t>В случае если документы, указанные в пункт</w:t>
      </w:r>
      <w:r>
        <w:rPr>
          <w:rFonts w:ascii="PT Astra Serif" w:eastAsia="Calibri" w:hAnsi="PT Astra Serif" w:cs="Times New Roman"/>
          <w:sz w:val="28"/>
          <w:szCs w:val="28"/>
          <w:lang w:eastAsia="x-none"/>
        </w:rPr>
        <w:t>е</w:t>
      </w:r>
      <w:r>
        <w:rPr>
          <w:rFonts w:ascii="PT Astra Serif" w:eastAsia="Calibri" w:hAnsi="PT Astra Serif" w:cs="Times New Roman"/>
          <w:sz w:val="28"/>
          <w:szCs w:val="28"/>
          <w:lang w:val="x-none" w:eastAsia="x-none"/>
        </w:rPr>
        <w:t xml:space="preserve"> </w:t>
      </w:r>
      <w:r>
        <w:rPr>
          <w:rFonts w:ascii="PT Astra Serif" w:eastAsia="Calibri" w:hAnsi="PT Astra Serif" w:cs="Times New Roman"/>
          <w:sz w:val="28"/>
          <w:szCs w:val="28"/>
          <w:lang w:eastAsia="x-none"/>
        </w:rPr>
        <w:t xml:space="preserve">10 настоящего </w:t>
      </w:r>
      <w:r>
        <w:rPr>
          <w:rFonts w:ascii="PT Astra Serif" w:eastAsia="Calibri" w:hAnsi="PT Astra Serif" w:cs="Times New Roman"/>
          <w:sz w:val="28"/>
          <w:szCs w:val="28"/>
          <w:lang w:val="x-none" w:eastAsia="x-none"/>
        </w:rPr>
        <w:t xml:space="preserve">регламента, не представлены заявителем, специалист </w:t>
      </w:r>
      <w:r>
        <w:rPr>
          <w:rFonts w:ascii="PT Astra Serif" w:eastAsia="Calibri" w:hAnsi="PT Astra Serif" w:cs="Times New Roman"/>
          <w:sz w:val="28"/>
          <w:szCs w:val="28"/>
          <w:lang w:eastAsia="x-none"/>
        </w:rPr>
        <w:t xml:space="preserve">Уполномоченного органа, </w:t>
      </w:r>
      <w:r>
        <w:rPr>
          <w:rFonts w:ascii="PT Astra Serif" w:eastAsia="Calibri" w:hAnsi="PT Astra Serif" w:cs="Times New Roman"/>
          <w:sz w:val="28"/>
          <w:szCs w:val="28"/>
          <w:lang w:val="x-none" w:eastAsia="x-none"/>
        </w:rPr>
        <w:t>ответственный за предоставление услуги</w:t>
      </w:r>
      <w:r>
        <w:rPr>
          <w:rFonts w:ascii="PT Astra Serif" w:eastAsia="Calibri" w:hAnsi="PT Astra Serif" w:cs="Times New Roman"/>
          <w:sz w:val="28"/>
          <w:szCs w:val="28"/>
          <w:lang w:eastAsia="x-none"/>
        </w:rPr>
        <w:t>, запрашивает их в порядке межведомственного информационного взаимодействия.</w:t>
      </w:r>
    </w:p>
    <w:p>
      <w:pPr>
        <w:pStyle w:val="af"/>
        <w:widowControl w:val="0"/>
        <w:numPr>
          <w:ilvl w:val="1"/>
          <w:numId w:val="8"/>
        </w:numPr>
        <w:tabs>
          <w:tab w:val="left" w:pos="1418"/>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работники МФЦ 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2"/>
        </w:numPr>
        <w:tabs>
          <w:tab w:val="left" w:pos="0"/>
          <w:tab w:val="left" w:pos="316"/>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w:t>
      </w:r>
      <w:r>
        <w:rPr>
          <w:rFonts w:ascii="PT Astra Serif" w:eastAsia="Calibri" w:hAnsi="PT Astra Serif" w:cs="Times New Roman"/>
          <w:sz w:val="28"/>
          <w:szCs w:val="28"/>
        </w:rPr>
        <w:lastRenderedPageBreak/>
        <w:t>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widowControl w:val="0"/>
        <w:tabs>
          <w:tab w:val="left" w:pos="0"/>
          <w:tab w:val="left" w:pos="1134"/>
        </w:tabs>
        <w:spacing w:after="0" w:line="240" w:lineRule="auto"/>
        <w:contextualSpacing/>
        <w:jc w:val="center"/>
        <w:rPr>
          <w:rFonts w:ascii="PT Astra Serif" w:eastAsia="Calibri" w:hAnsi="PT Astra Serif" w:cs="Times New Roman"/>
          <w:sz w:val="28"/>
          <w:szCs w:val="28"/>
        </w:rPr>
      </w:pPr>
    </w:p>
    <w:p>
      <w:pPr>
        <w:tabs>
          <w:tab w:val="left" w:pos="0"/>
        </w:tabs>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Исчерпывающие перечни оснований для отказа </w:t>
      </w:r>
    </w:p>
    <w:p>
      <w:pPr>
        <w:tabs>
          <w:tab w:val="left" w:pos="0"/>
        </w:tabs>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приеме документов, 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w:t>
      </w:r>
    </w:p>
    <w:p>
      <w:pPr>
        <w:tabs>
          <w:tab w:val="left" w:pos="0"/>
        </w:tabs>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для приостановления предоставления муниципальной услуги</w:t>
      </w:r>
    </w:p>
    <w:p>
      <w:pPr>
        <w:tabs>
          <w:tab w:val="left" w:pos="0"/>
        </w:tabs>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или отказа в предоставлении муниципальной услуги</w:t>
      </w:r>
    </w:p>
    <w:p>
      <w:pPr>
        <w:tabs>
          <w:tab w:val="left" w:pos="0"/>
        </w:tabs>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w:t>
      </w:r>
    </w:p>
    <w:p>
      <w:pPr>
        <w:pStyle w:val="af"/>
        <w:numPr>
          <w:ilvl w:val="0"/>
          <w:numId w:val="14"/>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представленных на бумажном носителе, отсутствуют;</w:t>
      </w:r>
    </w:p>
    <w:p>
      <w:pPr>
        <w:pStyle w:val="af"/>
        <w:numPr>
          <w:ilvl w:val="0"/>
          <w:numId w:val="14"/>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                          (для юридических лиц, индивидуальных предпринимателей).</w:t>
      </w:r>
    </w:p>
    <w:p>
      <w:pPr>
        <w:pStyle w:val="af"/>
        <w:numPr>
          <w:ilvl w:val="1"/>
          <w:numId w:val="8"/>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1"/>
          <w:numId w:val="8"/>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Основаниями для отказа в предоставлении муниципальной услуги являются:</w:t>
      </w:r>
    </w:p>
    <w:p>
      <w:pPr>
        <w:pStyle w:val="af"/>
        <w:numPr>
          <w:ilvl w:val="0"/>
          <w:numId w:val="15"/>
        </w:numPr>
        <w:tabs>
          <w:tab w:val="left" w:pos="0"/>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случаи, предусмотренные пунктом 4 части 1 статьи 7 Федерального закона № 210-ФЗ;</w:t>
      </w:r>
    </w:p>
    <w:p>
      <w:pPr>
        <w:pStyle w:val="af"/>
        <w:numPr>
          <w:ilvl w:val="0"/>
          <w:numId w:val="15"/>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отсутствие полномочий у Уполномоченного органа на принятие решения о подготовке документации по планировке территории;</w:t>
      </w:r>
    </w:p>
    <w:p>
      <w:pPr>
        <w:pStyle w:val="af"/>
        <w:numPr>
          <w:ilvl w:val="0"/>
          <w:numId w:val="15"/>
        </w:numPr>
        <w:tabs>
          <w:tab w:val="left" w:pos="1134"/>
        </w:tabs>
        <w:spacing w:after="0" w:line="240" w:lineRule="auto"/>
        <w:ind w:left="0" w:firstLine="709"/>
        <w:jc w:val="both"/>
        <w:rPr>
          <w:rFonts w:ascii="PT Astra Serif" w:eastAsia="Times New Roman" w:hAnsi="PT Astra Serif" w:cs="Times New Roman"/>
          <w:color w:val="000000"/>
          <w:sz w:val="28"/>
          <w:szCs w:val="28"/>
        </w:rPr>
      </w:pPr>
      <w:r>
        <w:rPr>
          <w:rFonts w:ascii="PT Astra Serif" w:hAnsi="PT Astra Serif" w:cs="Times New Roman"/>
          <w:sz w:val="28"/>
          <w:szCs w:val="28"/>
        </w:rPr>
        <w:t xml:space="preserve">наличие ранее принятого Уполномоченным органом решения                          </w:t>
      </w:r>
      <w:r>
        <w:rPr>
          <w:rFonts w:ascii="PT Astra Serif" w:eastAsia="Times New Roman" w:hAnsi="PT Astra Serif" w:cs="Times New Roman"/>
          <w:color w:val="000000"/>
          <w:sz w:val="28"/>
          <w:szCs w:val="28"/>
        </w:rPr>
        <w:t>о подготовке документации по планировке территории (либо её части),                            в отношении которой подано заявление о подготовке документации                               по планировке территории;</w:t>
      </w:r>
    </w:p>
    <w:p>
      <w:pPr>
        <w:pStyle w:val="af"/>
        <w:numPr>
          <w:ilvl w:val="0"/>
          <w:numId w:val="15"/>
        </w:numPr>
        <w:tabs>
          <w:tab w:val="left" w:pos="1134"/>
        </w:tabs>
        <w:spacing w:after="0" w:line="240" w:lineRule="auto"/>
        <w:ind w:left="0" w:firstLine="709"/>
        <w:jc w:val="both"/>
        <w:rPr>
          <w:rFonts w:ascii="PT Astra Serif" w:eastAsia="Times New Roman" w:hAnsi="PT Astra Serif" w:cs="Arial"/>
          <w:color w:val="000000"/>
          <w:sz w:val="28"/>
          <w:szCs w:val="28"/>
        </w:rPr>
      </w:pPr>
      <w:r>
        <w:rPr>
          <w:rFonts w:ascii="PT Astra Serif" w:eastAsia="Times New Roman" w:hAnsi="PT Astra Serif" w:cs="Times New Roman"/>
          <w:color w:val="000000"/>
          <w:sz w:val="28"/>
          <w:szCs w:val="28"/>
        </w:rPr>
        <w:t>в документах территориального планирования Тазовского района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предусматривается в соответствии с законодательством Российской Федерации;</w:t>
      </w:r>
    </w:p>
    <w:p>
      <w:pPr>
        <w:pStyle w:val="af"/>
        <w:numPr>
          <w:ilvl w:val="0"/>
          <w:numId w:val="1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отсутствие у Уполномоченного органа средств, предусмотренных                        на подготовку документации по планировке территории, в случае если заявитель в заявлении не указал информацию о подготовке документации                      по планировке территории за счет собственных средств.</w:t>
      </w:r>
    </w:p>
    <w:p>
      <w:pPr>
        <w:pStyle w:val="aa"/>
        <w:ind w:firstLine="0"/>
        <w:jc w:val="center"/>
        <w:rPr>
          <w:rFonts w:ascii="PT Astra Serif" w:hAnsi="PT Astra Serif" w:cs="Times New Roman"/>
          <w:b/>
          <w:bCs/>
        </w:rPr>
      </w:pPr>
      <w:r>
        <w:rPr>
          <w:rFonts w:ascii="PT Astra Serif" w:hAnsi="PT Astra Serif" w:cs="Times New Roman"/>
          <w:b/>
          <w:bCs/>
        </w:rPr>
        <w:lastRenderedPageBreak/>
        <w:t xml:space="preserve">Перечень услуг, которые являются необходимыми </w:t>
      </w:r>
    </w:p>
    <w:p>
      <w:pPr>
        <w:pStyle w:val="aa"/>
        <w:ind w:firstLine="0"/>
        <w:jc w:val="center"/>
        <w:rPr>
          <w:rFonts w:ascii="PT Astra Serif" w:hAnsi="PT Astra Serif" w:cs="Times New Roman"/>
          <w:b/>
          <w:bCs/>
        </w:rPr>
      </w:pPr>
      <w:r>
        <w:rPr>
          <w:rFonts w:ascii="PT Astra Serif" w:hAnsi="PT Astra Serif" w:cs="Times New Roman"/>
          <w:b/>
          <w:bCs/>
        </w:rPr>
        <w:t>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ind w:firstLine="567"/>
        <w:jc w:val="both"/>
        <w:outlineLvl w:val="2"/>
        <w:rPr>
          <w:rFonts w:ascii="PT Astra Serif" w:eastAsiaTheme="minorHAnsi" w:hAnsi="PT Astra Serif" w:cs="Times New Roman"/>
          <w:i/>
          <w:color w:val="FF0000"/>
          <w:sz w:val="28"/>
          <w:szCs w:val="28"/>
          <w:lang w:eastAsia="en-US"/>
        </w:rPr>
      </w:pPr>
    </w:p>
    <w:p>
      <w:pPr>
        <w:widowControl w:val="0"/>
        <w:autoSpaceDE w:val="0"/>
        <w:autoSpaceDN w:val="0"/>
        <w:adjustRightInd w:val="0"/>
        <w:spacing w:after="0" w:line="240" w:lineRule="auto"/>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1"/>
          <w:numId w:val="8"/>
        </w:numPr>
        <w:tabs>
          <w:tab w:val="left" w:pos="1418"/>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autoSpaceDE w:val="0"/>
        <w:autoSpaceDN w:val="0"/>
        <w:adjustRightInd w:val="0"/>
        <w:spacing w:after="0" w:line="240" w:lineRule="auto"/>
        <w:jc w:val="center"/>
        <w:outlineLvl w:val="2"/>
        <w:rPr>
          <w:rFonts w:ascii="PT Astra Serif" w:hAnsi="PT Astra Serif" w:cs="Times New Roman"/>
          <w:i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Максимальный срок ожидания в очереди при подаче запроса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iCs/>
          <w:sz w:val="28"/>
          <w:szCs w:val="28"/>
        </w:rPr>
      </w:pPr>
    </w:p>
    <w:p>
      <w:pPr>
        <w:pStyle w:val="af"/>
        <w:numPr>
          <w:ilvl w:val="0"/>
          <w:numId w:val="8"/>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1"/>
          <w:numId w:val="8"/>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spacing w:after="0" w:line="240" w:lineRule="auto"/>
        <w:ind w:firstLine="567"/>
        <w:jc w:val="both"/>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rPr>
          <w:rFonts w:ascii="PT Astra Serif" w:eastAsia="Times New Roman" w:hAnsi="PT Astra Serif" w:cs="Times New Roman"/>
          <w:color w:val="000000" w:themeColor="text1"/>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color w:val="000000" w:themeColor="text1"/>
          <w:sz w:val="28"/>
          <w:szCs w:val="28"/>
          <w:lang w:eastAsia="en-US"/>
        </w:rPr>
        <w:t xml:space="preserve">пунктами 20 – 20.5 </w:t>
      </w:r>
      <w:r>
        <w:rPr>
          <w:rFonts w:ascii="PT Astra Serif" w:eastAsiaTheme="minorHAnsi" w:hAnsi="PT Astra Serif" w:cs="Times New Roman"/>
          <w:sz w:val="28"/>
          <w:szCs w:val="28"/>
          <w:lang w:eastAsia="en-US"/>
        </w:rPr>
        <w:t>настоящего регламента, в день их поступления в течение 15 минут.</w:t>
      </w:r>
    </w:p>
    <w:p>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Требования к помещениям, в которых предоставляется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(или его подразделения); </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 (прежде всего это телефоны и адреса электронной почты «горячей линии» или call-центра – при наличии).</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w:t>
      </w:r>
      <w:r>
        <w:rPr>
          <w:rFonts w:ascii="PT Astra Serif" w:hAnsi="PT Astra Serif" w:cs="Times New Roman"/>
          <w:spacing w:val="-20"/>
          <w:sz w:val="28"/>
          <w:szCs w:val="28"/>
        </w:rPr>
        <w:t>возникновени</w:t>
      </w:r>
      <w:r>
        <w:rPr>
          <w:rFonts w:ascii="PT Astra Serif" w:hAnsi="PT Astra Serif" w:cs="Times New Roman"/>
          <w:sz w:val="28"/>
          <w:szCs w:val="28"/>
        </w:rPr>
        <w:t xml:space="preserve">и чрезвычайной ситуации. </w:t>
      </w:r>
    </w:p>
    <w:p>
      <w:pPr>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 xml:space="preserve">Для заполнения документов сектор ожидания оборудуется стульями, столами (стойками), информационными стендами, образцами заполнения документов, </w:t>
      </w:r>
      <w:r>
        <w:rPr>
          <w:rFonts w:ascii="PT Astra Serif" w:hAnsi="PT Astra Serif" w:cs="Times New Roman"/>
          <w:spacing w:val="-20"/>
          <w:sz w:val="28"/>
          <w:szCs w:val="28"/>
        </w:rPr>
        <w:t>бланками заявлений</w:t>
      </w:r>
      <w:r>
        <w:rPr>
          <w:rFonts w:ascii="PT Astra Serif" w:hAnsi="PT Astra Serif" w:cs="Times New Roman"/>
          <w:sz w:val="28"/>
          <w:szCs w:val="28"/>
        </w:rPr>
        <w:t xml:space="preserve"> и канцелярскими принадлежностями.</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eastAsia="Calibri" w:hAnsi="PT Astra Serif"/>
          <w:sz w:val="28"/>
          <w:szCs w:val="28"/>
          <w:lang w:eastAsia="en-US"/>
        </w:rPr>
        <w:t xml:space="preserve">Служебные </w:t>
      </w:r>
      <w:r>
        <w:rPr>
          <w:rFonts w:ascii="PT Astra Serif" w:eastAsia="Calibri" w:hAnsi="PT Astra Serif"/>
          <w:spacing w:val="-20"/>
          <w:sz w:val="28"/>
          <w:szCs w:val="28"/>
          <w:lang w:eastAsia="en-US"/>
        </w:rPr>
        <w:t>кабинеты специалистов</w:t>
      </w:r>
      <w:r>
        <w:rPr>
          <w:rFonts w:ascii="PT Astra Serif" w:eastAsia="Calibri" w:hAnsi="PT Astra Serif"/>
          <w:sz w:val="28"/>
          <w:szCs w:val="28"/>
          <w:lang w:eastAsia="en-US"/>
        </w:rPr>
        <w:t>,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Pr>
          <w:rFonts w:ascii="PT Astra Serif" w:hAnsi="PT Astra Serif"/>
          <w:sz w:val="28"/>
          <w:szCs w:val="28"/>
        </w:rPr>
        <w:t>Тазовского района</w:t>
      </w:r>
      <w:r>
        <w:rPr>
          <w:rFonts w:ascii="PT Astra Serif" w:hAnsi="PT Astra Serif" w:cs="Times New Roman"/>
          <w:sz w:val="28"/>
          <w:szCs w:val="28"/>
        </w:rPr>
        <w:t>,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autoSpaceDE w:val="0"/>
        <w:autoSpaceDN w:val="0"/>
        <w:adjustRightInd w:val="0"/>
        <w:spacing w:after="0" w:line="240" w:lineRule="auto"/>
        <w:ind w:firstLine="709"/>
        <w:jc w:val="both"/>
        <w:rPr>
          <w:rFonts w:ascii="PT Astra Serif" w:hAnsi="PT Astra Serif" w:cs="Times New Roman"/>
          <w:strike/>
          <w:sz w:val="28"/>
          <w:szCs w:val="28"/>
          <w:highlight w:val="yellow"/>
        </w:rPr>
      </w:pPr>
      <w:r>
        <w:rPr>
          <w:rFonts w:ascii="PT Astra Serif" w:hAnsi="PT Astra Serif" w:cs="PT Astra Serif"/>
          <w:sz w:val="28"/>
          <w:szCs w:val="28"/>
        </w:rPr>
        <w:t xml:space="preserve">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w:t>
      </w:r>
      <w:r>
        <w:rPr>
          <w:rFonts w:ascii="PT Astra Serif" w:hAnsi="PT Astra Serif" w:cs="PT Astra Serif"/>
          <w:sz w:val="28"/>
          <w:szCs w:val="28"/>
        </w:rPr>
        <w:lastRenderedPageBreak/>
        <w:t>места для парковки не должны занимать иные транспортные средства,                            за исключением случаев, предусмотренных правилами дорожного движения.</w:t>
      </w:r>
    </w:p>
    <w:p>
      <w:pPr>
        <w:pStyle w:val="af"/>
        <w:widowControl w:val="0"/>
        <w:numPr>
          <w:ilvl w:val="1"/>
          <w:numId w:val="8"/>
        </w:numPr>
        <w:tabs>
          <w:tab w:val="left" w:pos="1560"/>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both"/>
        <w:outlineLvl w:val="2"/>
        <w:rPr>
          <w:rFonts w:ascii="PT Astra Serif" w:hAnsi="PT Astra Serif" w:cs="Times New Roman"/>
          <w:sz w:val="28"/>
          <w:szCs w:val="28"/>
        </w:rPr>
      </w:pPr>
    </w:p>
    <w:p>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Cs/>
          <w:sz w:val="28"/>
          <w:szCs w:val="28"/>
        </w:rPr>
      </w:pPr>
    </w:p>
    <w:p>
      <w:pPr>
        <w:pStyle w:val="ListParagraph1"/>
        <w:widowControl w:val="0"/>
        <w:numPr>
          <w:ilvl w:val="0"/>
          <w:numId w:val="8"/>
        </w:numPr>
        <w:tabs>
          <w:tab w:val="left" w:pos="1276"/>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276"/>
        </w:tabs>
        <w:autoSpaceDE w:val="0"/>
        <w:autoSpaceDN w:val="0"/>
        <w:adjustRightInd w:val="0"/>
        <w:spacing w:after="0" w:line="240" w:lineRule="auto"/>
        <w:ind w:left="709"/>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6123"/>
        <w:gridCol w:w="1275"/>
        <w:gridCol w:w="1701"/>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xml:space="preserve">№ </w:t>
            </w:r>
            <w:r>
              <w:rPr>
                <w:rFonts w:ascii="PT Astra Serif" w:hAnsi="PT Astra Serif" w:cs="Times New Roman"/>
                <w:bCs/>
                <w:sz w:val="24"/>
                <w:szCs w:val="28"/>
              </w:rPr>
              <w:br/>
              <w:t>п/п</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Наименование показателя доступности и качества муниципальной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Нормативное 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6123"/>
        <w:gridCol w:w="1275"/>
        <w:gridCol w:w="1701"/>
      </w:tblGrid>
      <w:tr>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6123"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275"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701"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4"/>
            <w:tcBorders>
              <w:top w:val="single" w:sz="6" w:space="0" w:color="auto"/>
              <w:left w:val="single" w:sz="6" w:space="0" w:color="auto"/>
              <w:bottom w:val="single" w:sz="6" w:space="0" w:color="auto"/>
              <w:right w:val="single" w:sz="6" w:space="0" w:color="auto"/>
            </w:tcBorders>
          </w:tcPr>
          <w:p>
            <w:pPr>
              <w:tabs>
                <w:tab w:val="left" w:pos="-7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Доля заявителей, получивших муниципальную услугу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без нарушения установленного срока предоставления муниципальной услуги, от общего количества заявителей</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41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w:t>
            </w:r>
          </w:p>
          <w:p>
            <w:pPr>
              <w:autoSpaceDE w:val="0"/>
              <w:autoSpaceDN w:val="0"/>
              <w:adjustRightInd w:val="0"/>
              <w:spacing w:after="0" w:line="240" w:lineRule="auto"/>
              <w:rPr>
                <w:rFonts w:ascii="PT Astra Serif" w:hAnsi="PT Astra Serif" w:cs="Times New Roman"/>
                <w:b/>
                <w:bCs/>
                <w:sz w:val="24"/>
                <w:szCs w:val="24"/>
              </w:rPr>
            </w:pPr>
            <w:r>
              <w:rPr>
                <w:rFonts w:ascii="PT Astra Serif" w:hAnsi="PT Astra Serif" w:cs="Times New Roman"/>
                <w:sz w:val="24"/>
                <w:szCs w:val="24"/>
              </w:rPr>
              <w:t>на Едином портале и (или) Региональном портале</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Наличие помещения, оборудования и оснащения, отвечающих требованиям настоящего регламента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(места ожидания, места для заполнения заявителями документов, места общего пользования)</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должностных лиц в связи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рассмотрением заявления</w:t>
            </w:r>
          </w:p>
        </w:tc>
        <w:tc>
          <w:tcPr>
            <w:tcW w:w="1275"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w:t>
            </w:r>
          </w:p>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Укомплектованность квалифицированными кадрами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 соответствии со штатным расписанием</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не менее 95 </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 xml:space="preserve">Состав действий, которые заявитель вправе совершить в электронной форме при получении муниципальной услуги с использованием Единого портала </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6123"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6123"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Прием и регистрация органом (организацией) запроса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иных документов, необходимых для предоставления муниципальной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6123"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6123"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275"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6123"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получения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 МФЦ (с момента вступления в силу соглашения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 взаимодействии между МФЦ и Администрацией Тазовского района) (в том числе в полном объеме)</w:t>
            </w:r>
          </w:p>
        </w:tc>
        <w:tc>
          <w:tcPr>
            <w:tcW w:w="1275"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6123" w:type="dxa"/>
            <w:tcBorders>
              <w:top w:val="single" w:sz="6" w:space="0" w:color="auto"/>
              <w:left w:val="single" w:sz="6" w:space="0" w:color="auto"/>
              <w:bottom w:val="single" w:sz="4" w:space="0" w:color="auto"/>
              <w:right w:val="single" w:sz="6" w:space="0" w:color="auto"/>
            </w:tcBorders>
          </w:tcPr>
          <w:p>
            <w:pPr>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275"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7.3.</w:t>
            </w:r>
          </w:p>
        </w:tc>
        <w:tc>
          <w:tcPr>
            <w:tcW w:w="6123" w:type="dxa"/>
            <w:tcBorders>
              <w:top w:val="single" w:sz="6" w:space="0" w:color="auto"/>
              <w:left w:val="single" w:sz="6" w:space="0" w:color="auto"/>
              <w:bottom w:val="single" w:sz="4" w:space="0" w:color="auto"/>
              <w:right w:val="single" w:sz="6" w:space="0" w:color="auto"/>
            </w:tcBorders>
          </w:tcPr>
          <w:p>
            <w:pPr>
              <w:spacing w:after="0" w:line="240" w:lineRule="auto"/>
              <w:rPr>
                <w:rFonts w:ascii="PT Astra Serif" w:hAnsi="PT Astra Serif"/>
                <w:color w:val="000000" w:themeColor="text1"/>
                <w:sz w:val="24"/>
                <w:szCs w:val="24"/>
              </w:rPr>
            </w:pPr>
            <w:r>
              <w:rPr>
                <w:rFonts w:ascii="PT Astra Serif" w:hAnsi="PT Astra Serif"/>
                <w:color w:val="000000" w:themeColor="text1"/>
                <w:sz w:val="24"/>
                <w:szCs w:val="24"/>
              </w:rPr>
              <w:t>Возможность либо невозможность получения муниципальной услуги посредством запроса</w:t>
            </w:r>
          </w:p>
          <w:p>
            <w:pPr>
              <w:spacing w:after="0" w:line="240" w:lineRule="auto"/>
              <w:rPr>
                <w:rFonts w:ascii="PT Astra Serif" w:hAnsi="PT Astra Serif"/>
                <w:color w:val="000000" w:themeColor="text1"/>
                <w:sz w:val="24"/>
                <w:szCs w:val="24"/>
              </w:rPr>
            </w:pPr>
            <w:r>
              <w:rPr>
                <w:rFonts w:ascii="PT Astra Serif" w:hAnsi="PT Astra Serif"/>
                <w:color w:val="000000" w:themeColor="text1"/>
                <w:sz w:val="24"/>
                <w:szCs w:val="24"/>
              </w:rPr>
              <w:t xml:space="preserve">о предоставлении нескольких муниципальных услуг </w:t>
            </w:r>
          </w:p>
          <w:p>
            <w:pPr>
              <w:spacing w:after="0" w:line="240" w:lineRule="auto"/>
              <w:rPr>
                <w:rFonts w:ascii="PT Astra Serif" w:hAnsi="PT Astra Serif"/>
                <w:color w:val="000000" w:themeColor="text1"/>
                <w:sz w:val="24"/>
                <w:szCs w:val="24"/>
              </w:rPr>
            </w:pPr>
            <w:r>
              <w:rPr>
                <w:rFonts w:ascii="PT Astra Serif" w:hAnsi="PT Astra Serif"/>
                <w:color w:val="000000" w:themeColor="text1"/>
                <w:sz w:val="24"/>
                <w:szCs w:val="24"/>
              </w:rPr>
              <w:t xml:space="preserve">в многофункциональных центрах, предусмотренного статьей 15.1 Федерального закона от 27.07.2010 № </w:t>
            </w:r>
          </w:p>
          <w:p>
            <w:pPr>
              <w:spacing w:after="0" w:line="240" w:lineRule="auto"/>
              <w:rPr>
                <w:rFonts w:ascii="PT Astra Serif" w:hAnsi="PT Astra Serif" w:cs="Times New Roman"/>
                <w:bCs/>
                <w:sz w:val="24"/>
                <w:szCs w:val="24"/>
              </w:rPr>
            </w:pPr>
            <w:r>
              <w:rPr>
                <w:rFonts w:ascii="PT Astra Serif" w:hAnsi="PT Astra Serif"/>
                <w:color w:val="000000" w:themeColor="text1"/>
                <w:sz w:val="24"/>
                <w:szCs w:val="24"/>
              </w:rPr>
              <w:t>210-ФЗ «Об организации предоставления государственных и муниципальных услуг»</w:t>
            </w:r>
          </w:p>
        </w:tc>
        <w:tc>
          <w:tcPr>
            <w:tcW w:w="1275"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6123" w:type="dxa"/>
            <w:tcBorders>
              <w:top w:val="single" w:sz="6" w:space="0" w:color="auto"/>
              <w:left w:val="single" w:sz="6" w:space="0" w:color="auto"/>
              <w:bottom w:val="single" w:sz="6" w:space="0" w:color="auto"/>
              <w:right w:val="single" w:sz="6" w:space="0" w:color="auto"/>
            </w:tcBorders>
          </w:tcPr>
          <w:p>
            <w:pPr>
              <w:pStyle w:val="ConsPlusNormal"/>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275"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ind w:firstLine="567"/>
        <w:jc w:val="both"/>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Иные требования, в том числе учитывающие особенности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предоставления муниципальной услуги по экстерриториальному принципу (в случае, если муниципальная услуга предоставляется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по экстерриториальному принципу) и особенности предоставления муниципальной услуги в электронной форме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(с момента реализации технической возможности)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8"/>
        </w:numPr>
        <w:tabs>
          <w:tab w:val="left" w:pos="0"/>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pStyle w:val="af"/>
        <w:numPr>
          <w:ilvl w:val="1"/>
          <w:numId w:val="18"/>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w:t>
      </w:r>
      <w:r>
        <w:rPr>
          <w:rFonts w:ascii="PT Astra Serif" w:eastAsia="Calibri" w:hAnsi="PT Astra Serif" w:cs="Times New Roman"/>
          <w:spacing w:val="-20"/>
          <w:sz w:val="28"/>
          <w:szCs w:val="28"/>
        </w:rPr>
        <w:t>определяются соглашением</w:t>
      </w:r>
      <w:r>
        <w:rPr>
          <w:rFonts w:ascii="PT Astra Serif" w:eastAsia="Calibri" w:hAnsi="PT Astra Serif" w:cs="Times New Roman"/>
          <w:sz w:val="28"/>
          <w:szCs w:val="28"/>
        </w:rPr>
        <w:t xml:space="preserve"> о взаимодействии.</w:t>
      </w:r>
    </w:p>
    <w:p>
      <w:pPr>
        <w:pStyle w:val="af"/>
        <w:numPr>
          <w:ilvl w:val="1"/>
          <w:numId w:val="37"/>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9"/>
        </w:numPr>
        <w:tabs>
          <w:tab w:val="left" w:pos="0"/>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9"/>
        </w:numPr>
        <w:tabs>
          <w:tab w:val="left" w:pos="0"/>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pPr>
        <w:pStyle w:val="af"/>
        <w:numPr>
          <w:ilvl w:val="1"/>
          <w:numId w:val="37"/>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color w:val="000000"/>
          <w:sz w:val="28"/>
          <w:szCs w:val="28"/>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w:t>
      </w:r>
      <w:r>
        <w:rPr>
          <w:rFonts w:ascii="PT Astra Serif" w:eastAsia="Calibri" w:hAnsi="PT Astra Serif" w:cs="Times New Roman"/>
          <w:color w:val="000000"/>
          <w:sz w:val="28"/>
          <w:szCs w:val="28"/>
        </w:rPr>
        <w:lastRenderedPageBreak/>
        <w:t>за получением государственных и муниципальных услуг» и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w:t>
      </w:r>
      <w:r>
        <w:rPr>
          <w:rFonts w:ascii="PT Astra Serif" w:eastAsia="Calibri" w:hAnsi="PT Astra Serif" w:cs="Times New Roman"/>
          <w:color w:val="000000"/>
          <w:spacing w:val="-20"/>
          <w:sz w:val="28"/>
          <w:szCs w:val="28"/>
        </w:rPr>
        <w:t>дминистративны</w:t>
      </w:r>
      <w:r>
        <w:rPr>
          <w:rFonts w:ascii="PT Astra Serif" w:eastAsia="Calibri" w:hAnsi="PT Astra Serif" w:cs="Times New Roman"/>
          <w:color w:val="000000"/>
          <w:sz w:val="28"/>
          <w:szCs w:val="28"/>
        </w:rPr>
        <w:t>х регламентов предоставления государственных услуг».</w:t>
      </w:r>
    </w:p>
    <w:p>
      <w:pPr>
        <w:pStyle w:val="af"/>
        <w:numPr>
          <w:ilvl w:val="1"/>
          <w:numId w:val="37"/>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5"/>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w:t>
      </w:r>
    </w:p>
    <w:p>
      <w:pPr>
        <w:pStyle w:val="af"/>
        <w:tabs>
          <w:tab w:val="left" w:pos="0"/>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административных процедур, требования к порядку их выполнения,</w:t>
      </w:r>
    </w:p>
    <w:p>
      <w:pPr>
        <w:pStyle w:val="af"/>
        <w:tabs>
          <w:tab w:val="left" w:pos="0"/>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37"/>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1"/>
          <w:numId w:val="5"/>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1"/>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р</w:t>
      </w:r>
      <w:r>
        <w:rPr>
          <w:rFonts w:ascii="PT Astra Serif" w:hAnsi="PT Astra Serif" w:cs="Times New Roman"/>
          <w:bCs/>
          <w:sz w:val="28"/>
          <w:szCs w:val="28"/>
        </w:rPr>
        <w:t>ассмотрение документов, 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r>
        <w:rPr>
          <w:rFonts w:ascii="PT Astra Serif" w:hAnsi="PT Astra Serif" w:cs="Times New Roman"/>
          <w:color w:val="000000"/>
          <w:sz w:val="28"/>
          <w:szCs w:val="28"/>
        </w:rPr>
        <w:t>;</w:t>
      </w:r>
    </w:p>
    <w:p>
      <w:pPr>
        <w:pStyle w:val="af"/>
        <w:numPr>
          <w:ilvl w:val="1"/>
          <w:numId w:val="5"/>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выдача (направление) результата предоставления (отказа                                    в предоставлении) муниципальной услуги заявителю.</w:t>
      </w:r>
    </w:p>
    <w:p>
      <w:pPr>
        <w:pStyle w:val="af"/>
        <w:numPr>
          <w:ilvl w:val="1"/>
          <w:numId w:val="37"/>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2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Pr>
          <w:rFonts w:ascii="PT Astra Serif" w:hAnsi="PT Astra Serif" w:cs="Times New Roman"/>
          <w:sz w:val="28"/>
          <w:szCs w:val="28"/>
        </w:rPr>
        <w:t>;</w:t>
      </w:r>
    </w:p>
    <w:p>
      <w:pPr>
        <w:pStyle w:val="af"/>
        <w:numPr>
          <w:ilvl w:val="0"/>
          <w:numId w:val="2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пунктами 25 – 25.4 настоящего регламента.</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Прием запросов заявителей о предоставлении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муниципальной услуги и иных документов, необходимых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highlight w:val="yellow"/>
        </w:rPr>
      </w:pPr>
    </w:p>
    <w:p>
      <w:pPr>
        <w:pStyle w:val="af"/>
        <w:numPr>
          <w:ilvl w:val="0"/>
          <w:numId w:val="37"/>
        </w:numPr>
        <w:tabs>
          <w:tab w:val="left" w:pos="1276"/>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Специалист Уполномоченного органа, в обязанности которого входит прием и регистрация документов:</w:t>
      </w:r>
    </w:p>
    <w:p>
      <w:pPr>
        <w:pStyle w:val="af"/>
        <w:numPr>
          <w:ilvl w:val="0"/>
          <w:numId w:val="2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pPr>
        <w:pStyle w:val="af"/>
        <w:numPr>
          <w:ilvl w:val="0"/>
          <w:numId w:val="2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w:t>
      </w:r>
      <w:r>
        <w:rPr>
          <w:rFonts w:ascii="PT Astra Serif" w:hAnsi="PT Astra Serif" w:cs="Times New Roman"/>
          <w:color w:val="000000"/>
          <w:sz w:val="28"/>
          <w:szCs w:val="28"/>
        </w:rPr>
        <w:t xml:space="preserve"> оснований для отказа в приеме документов, предусмотренных пунктом 11 раздела </w:t>
      </w:r>
      <w:r>
        <w:rPr>
          <w:rFonts w:ascii="PT Astra Serif" w:hAnsi="PT Astra Serif" w:cs="Times New Roman"/>
          <w:color w:val="000000"/>
          <w:sz w:val="28"/>
          <w:szCs w:val="28"/>
          <w:lang w:val="en-US"/>
        </w:rPr>
        <w:t>II</w:t>
      </w:r>
      <w:r>
        <w:rPr>
          <w:rFonts w:ascii="PT Astra Serif" w:hAnsi="PT Astra Serif" w:cs="Times New Roman"/>
          <w:sz w:val="28"/>
          <w:szCs w:val="28"/>
        </w:rPr>
        <w:t xml:space="preserve"> настоящего регламента</w:t>
      </w:r>
      <w:r>
        <w:rPr>
          <w:rFonts w:ascii="PT Astra Serif" w:hAnsi="PT Astra Serif" w:cs="Times New Roman"/>
          <w:color w:val="000000"/>
          <w:sz w:val="28"/>
          <w:szCs w:val="28"/>
        </w:rPr>
        <w:t xml:space="preserve">. В случае наличия таких оснований, уведомляет об этом заявителя </w:t>
      </w:r>
      <w:r>
        <w:rPr>
          <w:rFonts w:ascii="PT Astra Serif" w:hAnsi="PT Astra Serif" w:cs="Times New Roman"/>
          <w:sz w:val="28"/>
          <w:szCs w:val="28"/>
        </w:rPr>
        <w:t>в письменной                            или устной форме</w:t>
      </w:r>
      <w:r>
        <w:rPr>
          <w:rFonts w:ascii="PT Astra Serif" w:hAnsi="PT Astra Serif" w:cs="Times New Roman"/>
          <w:color w:val="000000"/>
          <w:sz w:val="28"/>
          <w:szCs w:val="28"/>
        </w:rPr>
        <w:t xml:space="preserve"> с указанием причин отказа в приеме документов,                                     а в случае отсутствия таких оснований переходит к следующему административному действию;</w:t>
      </w:r>
    </w:p>
    <w:p>
      <w:pPr>
        <w:pStyle w:val="af"/>
        <w:numPr>
          <w:ilvl w:val="0"/>
          <w:numId w:val="22"/>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случае если заявителем по собственной инициативе представлены, документы, предусмотренные </w:t>
      </w:r>
      <w:r>
        <w:rPr>
          <w:rFonts w:ascii="PT Astra Serif" w:hAnsi="PT Astra Serif" w:cs="Times New Roman"/>
          <w:sz w:val="28"/>
          <w:szCs w:val="28"/>
        </w:rPr>
        <w:t xml:space="preserve">пунктом 10 </w:t>
      </w:r>
      <w:r>
        <w:rPr>
          <w:rFonts w:ascii="PT Astra Serif" w:hAnsi="PT Astra Serif" w:cs="Times New Roman"/>
          <w:color w:val="000000"/>
          <w:sz w:val="28"/>
          <w:szCs w:val="28"/>
        </w:rPr>
        <w:t>настоящего регламента, приобщает данные документы к комплекту документов заявителя;</w:t>
      </w:r>
    </w:p>
    <w:p>
      <w:pPr>
        <w:pStyle w:val="af"/>
        <w:numPr>
          <w:ilvl w:val="0"/>
          <w:numId w:val="22"/>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2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сообщает заявителю номер и дату регистрации заявления, выдает расписку о получении документов</w:t>
      </w:r>
      <w:r>
        <w:rPr>
          <w:rFonts w:ascii="PT Astra Serif" w:hAnsi="PT Astra Serif" w:cs="Times New Roman"/>
          <w:sz w:val="28"/>
          <w:szCs w:val="28"/>
        </w:rPr>
        <w:t>.</w:t>
      </w:r>
    </w:p>
    <w:p>
      <w:pPr>
        <w:pStyle w:val="af"/>
        <w:numPr>
          <w:ilvl w:val="0"/>
          <w:numId w:val="22"/>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специалисту Уполномоченного органа, уполномоченному на рассмотрение обращения заявителя.</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pPr>
        <w:pStyle w:val="af"/>
        <w:numPr>
          <w:ilvl w:val="1"/>
          <w:numId w:val="38"/>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специалисту Уполномоченного органа, уполномоченному на рассмотрение обращения заявителя.</w:t>
      </w:r>
    </w:p>
    <w:p>
      <w:pPr>
        <w:pStyle w:val="af"/>
        <w:numPr>
          <w:ilvl w:val="1"/>
          <w:numId w:val="38"/>
        </w:numPr>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 xml:space="preserve"> либо отказ в приеме документов</w:t>
      </w:r>
      <w:r>
        <w:rPr>
          <w:rFonts w:ascii="PT Astra Serif" w:hAnsi="PT Astra Serif" w:cs="Times New Roman"/>
          <w:color w:val="000000"/>
          <w:sz w:val="28"/>
          <w:szCs w:val="28"/>
        </w:rPr>
        <w:t>.</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lastRenderedPageBreak/>
        <w:t>Продолжительность административной процедуры, в том числе                         при обращении в МФЦ - не более 15 минут.</w:t>
      </w:r>
      <w:r>
        <w:rPr>
          <w:rFonts w:ascii="PT Astra Serif" w:hAnsi="PT Astra Serif" w:cs="Times New Roman"/>
          <w:sz w:val="28"/>
          <w:szCs w:val="28"/>
        </w:rPr>
        <w:t xml:space="preserve"> </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Формирование и направление межведомственного запроса</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если заявителем не представлены указанные в пункте 10 настоящего </w:t>
      </w:r>
      <w:r>
        <w:rPr>
          <w:rFonts w:ascii="PT Astra Serif" w:hAnsi="PT Astra Serif" w:cs="Times New Roman"/>
          <w:spacing w:val="-20"/>
          <w:sz w:val="28"/>
          <w:szCs w:val="28"/>
        </w:rPr>
        <w:t>регламента документы</w:t>
      </w:r>
      <w:r>
        <w:rPr>
          <w:rFonts w:ascii="PT Astra Serif" w:hAnsi="PT Astra Serif" w:cs="Times New Roman"/>
          <w:sz w:val="28"/>
          <w:szCs w:val="28"/>
        </w:rPr>
        <w:t>, специалист, ответственный за формирование                                      и направление межведомственного запроса,</w:t>
      </w:r>
      <w:r>
        <w:rPr>
          <w:rFonts w:ascii="PT Astra Serif" w:hAnsi="PT Astra Serif"/>
          <w:sz w:val="28"/>
          <w:szCs w:val="28"/>
        </w:rPr>
        <w:t xml:space="preserve"> </w:t>
      </w:r>
      <w:r>
        <w:rPr>
          <w:rFonts w:ascii="PT Astra Serif" w:hAnsi="PT Astra Serif" w:cs="Times New Roman"/>
          <w:sz w:val="28"/>
          <w:szCs w:val="28"/>
        </w:rPr>
        <w:t>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межведомственного запроса специалистом, ответственным за формирование и направление межведомственного запроса,                 не может превышать 3 рабочих дней.</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После поступления ответа на межведомственный запрос, при его направлении на бумажном носителе, специалист, ответственный                                     </w:t>
      </w:r>
      <w:r>
        <w:rPr>
          <w:rFonts w:ascii="PT Astra Serif" w:hAnsi="PT Astra Serif" w:cs="Times New Roman"/>
          <w:sz w:val="28"/>
          <w:szCs w:val="28"/>
        </w:rPr>
        <w:lastRenderedPageBreak/>
        <w:t xml:space="preserve">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w:t>
      </w:r>
      <w:r>
        <w:rPr>
          <w:rFonts w:ascii="PT Astra Serif" w:hAnsi="PT Astra Serif" w:cs="Times New Roman"/>
          <w:color w:val="000000"/>
          <w:sz w:val="28"/>
          <w:szCs w:val="28"/>
        </w:rPr>
        <w:t>р</w:t>
      </w:r>
      <w:r>
        <w:rPr>
          <w:rFonts w:ascii="PT Astra Serif" w:hAnsi="PT Astra Serif" w:cs="Times New Roman"/>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 в день поступления таких документов (сведений).</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Максимальный срок выполнения административной процедуры составляет 8 рабочих дней.</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Результатом административной процедуры является полученный ответ на межведомственный запрос.</w:t>
      </w:r>
    </w:p>
    <w:p>
      <w:pPr>
        <w:pStyle w:val="af"/>
        <w:numPr>
          <w:ilvl w:val="1"/>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pPr>
        <w:spacing w:after="0" w:line="240" w:lineRule="auto"/>
        <w:ind w:firstLine="567"/>
        <w:jc w:val="center"/>
        <w:rPr>
          <w:rFonts w:ascii="PT Astra Serif" w:hAnsi="PT Astra Serif" w:cs="Times New Roman"/>
          <w:b/>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Рассмотрение документов, принятие решения о предоставлении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(об отказе в предоставлении) муниципальной услуги, оформление результата предоставления (отказа в предоставлении)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w:t>
      </w:r>
    </w:p>
    <w:p>
      <w:pPr>
        <w:spacing w:after="0" w:line="240" w:lineRule="auto"/>
        <w:ind w:firstLine="567"/>
        <w:jc w:val="center"/>
        <w:rPr>
          <w:rFonts w:ascii="PT Astra Serif" w:hAnsi="PT Astra Serif" w:cs="Times New Roman"/>
          <w:bCs/>
          <w:color w:val="000000"/>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При получении комплекта документов, указанных в пункте 22, специалист, ответственный за р</w:t>
      </w:r>
      <w:r>
        <w:rPr>
          <w:rFonts w:ascii="PT Astra Serif" w:hAnsi="PT Astra Serif" w:cs="Times New Roman"/>
          <w:bCs/>
          <w:sz w:val="28"/>
          <w:szCs w:val="28"/>
        </w:rPr>
        <w:t>ассмотрение документов</w:t>
      </w:r>
      <w:r>
        <w:rPr>
          <w:rFonts w:ascii="PT Astra Serif" w:hAnsi="PT Astra Serif" w:cs="Times New Roman"/>
          <w:color w:val="000000"/>
          <w:sz w:val="28"/>
          <w:szCs w:val="28"/>
        </w:rPr>
        <w:t>:</w:t>
      </w:r>
    </w:p>
    <w:p>
      <w:pPr>
        <w:pStyle w:val="af"/>
        <w:numPr>
          <w:ilvl w:val="0"/>
          <w:numId w:val="23"/>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устанавливает предмет обращения заявителя;</w:t>
      </w:r>
    </w:p>
    <w:p>
      <w:pPr>
        <w:pStyle w:val="af"/>
        <w:numPr>
          <w:ilvl w:val="0"/>
          <w:numId w:val="23"/>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устанавливает принадлежность заявителя к кругу лиц, имеющих право на получение муниципальной услуги;</w:t>
      </w:r>
    </w:p>
    <w:p>
      <w:pPr>
        <w:pStyle w:val="af"/>
        <w:numPr>
          <w:ilvl w:val="0"/>
          <w:numId w:val="2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 xml:space="preserve">проверяет наличие оснований для отказа в предоставлении муниципальной услуги, предусмотренных пунктом </w:t>
      </w:r>
      <w:r>
        <w:rPr>
          <w:rFonts w:ascii="PT Astra Serif" w:hAnsi="PT Astra Serif" w:cs="Times New Roman"/>
          <w:sz w:val="28"/>
          <w:szCs w:val="28"/>
        </w:rPr>
        <w:t xml:space="preserve">11.2 </w:t>
      </w:r>
      <w:r>
        <w:rPr>
          <w:rFonts w:ascii="PT Astra Serif" w:hAnsi="PT Astra Serif" w:cs="Times New Roman"/>
          <w:color w:val="000000"/>
          <w:sz w:val="28"/>
          <w:szCs w:val="28"/>
        </w:rPr>
        <w:t>н</w:t>
      </w:r>
      <w:r>
        <w:rPr>
          <w:rFonts w:ascii="PT Astra Serif" w:hAnsi="PT Astra Serif" w:cs="Times New Roman"/>
          <w:sz w:val="28"/>
          <w:szCs w:val="28"/>
        </w:rPr>
        <w:t>астоящего регламента</w:t>
      </w:r>
      <w:r>
        <w:rPr>
          <w:rFonts w:ascii="PT Astra Serif" w:hAnsi="PT Astra Serif" w:cs="Times New Roman"/>
          <w:color w:val="000000"/>
          <w:sz w:val="28"/>
          <w:szCs w:val="28"/>
        </w:rPr>
        <w:t>;</w:t>
      </w:r>
    </w:p>
    <w:p>
      <w:pPr>
        <w:pStyle w:val="af"/>
        <w:numPr>
          <w:ilvl w:val="0"/>
          <w:numId w:val="23"/>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устанавливает наличие полномочий Уполномоченного органа                         </w:t>
      </w:r>
      <w:r>
        <w:rPr>
          <w:rFonts w:ascii="PT Astra Serif" w:hAnsi="PT Astra Serif" w:cs="Times New Roman"/>
          <w:sz w:val="28"/>
          <w:szCs w:val="28"/>
        </w:rPr>
        <w:t xml:space="preserve"> </w:t>
      </w:r>
      <w:r>
        <w:rPr>
          <w:rFonts w:ascii="PT Astra Serif" w:hAnsi="PT Astra Serif" w:cs="Times New Roman"/>
          <w:color w:val="000000"/>
          <w:sz w:val="28"/>
          <w:szCs w:val="28"/>
        </w:rPr>
        <w:t>по рассмотрению обращения заявителя.</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случае, если предоставление муниципальной услуги входит                          в полномочия Уполномоченного органа и отсутствуют определенные                      пунктом </w:t>
      </w:r>
      <w:r>
        <w:rPr>
          <w:rFonts w:ascii="PT Astra Serif" w:hAnsi="PT Astra Serif" w:cs="Times New Roman"/>
          <w:sz w:val="28"/>
          <w:szCs w:val="28"/>
        </w:rPr>
        <w:t xml:space="preserve">11.2 </w:t>
      </w:r>
      <w:r>
        <w:rPr>
          <w:rFonts w:ascii="PT Astra Serif" w:hAnsi="PT Astra Serif" w:cs="Times New Roman"/>
          <w:color w:val="000000"/>
          <w:sz w:val="28"/>
          <w:szCs w:val="28"/>
        </w:rPr>
        <w:t>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color w:val="000000"/>
          <w:sz w:val="28"/>
          <w:szCs w:val="28"/>
        </w:rPr>
        <w:t xml:space="preserve">готовит в двух экземплярах проект решения о подготовке ДПТ                      и передает указанный проект на рассмотрение должностному лицу Уполномоченного органа, имеющему полномочия на принятие решения                           </w:t>
      </w:r>
      <w:r>
        <w:rPr>
          <w:rFonts w:ascii="PT Astra Serif" w:hAnsi="PT Astra Serif" w:cs="Times New Roman"/>
          <w:color w:val="000000"/>
          <w:sz w:val="28"/>
          <w:szCs w:val="28"/>
        </w:rPr>
        <w:lastRenderedPageBreak/>
        <w:t>о предоставлении (отказе в предоставлении) муниципальной услуги                        (далее – уполномоченное лицо).</w:t>
      </w:r>
    </w:p>
    <w:p>
      <w:pPr>
        <w:pStyle w:val="af"/>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Проект решения о подготовке ДПТ должен содержать следующие сведения:</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 физическом или юридическом лице, обеспечивающем подготовку документации по планировке территории;</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 виде документации по планировке территории;</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об адресном ориентире территории, в отношении которой предполагается подготовка документация по планировке;</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 сроках подготовки документации по планировке территории.</w:t>
      </w:r>
    </w:p>
    <w:p>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Times New Roman"/>
          <w:color w:val="000000"/>
          <w:sz w:val="28"/>
          <w:szCs w:val="28"/>
        </w:rPr>
        <w:t xml:space="preserve">В случае, если имеются определенные пунктами </w:t>
      </w:r>
      <w:r>
        <w:rPr>
          <w:rFonts w:ascii="PT Astra Serif" w:hAnsi="PT Astra Serif" w:cs="Times New Roman"/>
          <w:sz w:val="28"/>
          <w:szCs w:val="28"/>
        </w:rPr>
        <w:t>11 – 11.2</w:t>
      </w:r>
      <w:r>
        <w:rPr>
          <w:rFonts w:ascii="PT Astra Serif" w:hAnsi="PT Astra Serif" w:cs="Times New Roman"/>
          <w:color w:val="000000"/>
          <w:sz w:val="28"/>
          <w:szCs w:val="28"/>
        </w:rPr>
        <w:t xml:space="preserve"> 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color w:val="000000"/>
          <w:sz w:val="28"/>
          <w:szCs w:val="28"/>
        </w:rPr>
        <w:t xml:space="preserve">готовит в двух экземплярах </w:t>
      </w:r>
      <w:r>
        <w:rPr>
          <w:rFonts w:ascii="PT Astra Serif" w:hAnsi="PT Astra Serif" w:cs="PT Astra Serif"/>
          <w:sz w:val="28"/>
          <w:szCs w:val="28"/>
        </w:rPr>
        <w:t>проект уведомления об отказе в предоставлении муниципальной услуги (далее - решение об отказе в предоставлении муниципальной услуги)                          и передает указанный проект на рассмотрение уполномоченному лицу.</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color w:val="000000"/>
          <w:sz w:val="28"/>
          <w:szCs w:val="28"/>
        </w:rPr>
        <w:t>Уполномоченное лицо рассматривает проект решения о предоставлении (отказе в предоставлении) муниципальной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w:t>
      </w:r>
      <w:r>
        <w:rPr>
          <w:rFonts w:ascii="PT Astra Serif" w:hAnsi="PT Astra Serif" w:cs="Times New Roman"/>
          <w:bCs/>
          <w:sz w:val="28"/>
          <w:szCs w:val="28"/>
        </w:rPr>
        <w:t xml:space="preserve">ассмотрение документов, для дальнейшего оформления. </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color w:val="000000"/>
          <w:sz w:val="28"/>
          <w:szCs w:val="28"/>
        </w:rPr>
        <w:t>Специалист, ответственный за р</w:t>
      </w:r>
      <w:r>
        <w:rPr>
          <w:rFonts w:ascii="PT Astra Serif" w:hAnsi="PT Astra Serif" w:cs="Times New Roman"/>
          <w:bCs/>
          <w:sz w:val="28"/>
          <w:szCs w:val="28"/>
        </w:rPr>
        <w:t>ассмотрение документов:</w:t>
      </w:r>
    </w:p>
    <w:p>
      <w:pPr>
        <w:pStyle w:val="af"/>
        <w:numPr>
          <w:ilvl w:val="0"/>
          <w:numId w:val="25"/>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оформляет решение о предоставлении (об отказе в предоставлении) муниципальной услуги в соответствии с установленными требованиями делопроизводства;</w:t>
      </w:r>
    </w:p>
    <w:p>
      <w:pPr>
        <w:pStyle w:val="af"/>
        <w:numPr>
          <w:ilvl w:val="0"/>
          <w:numId w:val="25"/>
        </w:numPr>
        <w:tabs>
          <w:tab w:val="left" w:pos="1134"/>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принятое решение о предоставлении (об отказе                                   в предоставлении) муниципальной услуги специалисту, ответственному                             за выдачу результата предоставления муниципальной услуги заявителю.</w:t>
      </w:r>
    </w:p>
    <w:p>
      <w:pPr>
        <w:pStyle w:val="af"/>
        <w:numPr>
          <w:ilvl w:val="1"/>
          <w:numId w:val="38"/>
        </w:numPr>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pPr>
        <w:spacing w:after="0" w:line="240" w:lineRule="auto"/>
        <w:ind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 регистрация их в системе электронного делопроизводства и документооборота, размещения решения                      о подготовке ДПТ на официальном сайте Уполномоченного органа.</w:t>
      </w:r>
    </w:p>
    <w:p>
      <w:pPr>
        <w:spacing w:after="0" w:line="240" w:lineRule="auto"/>
        <w:ind w:firstLine="709"/>
        <w:jc w:val="both"/>
        <w:rPr>
          <w:rFonts w:ascii="PT Astra Serif" w:hAnsi="PT Astra Serif" w:cs="Times New Roman"/>
          <w:sz w:val="28"/>
          <w:szCs w:val="28"/>
        </w:rPr>
      </w:pPr>
      <w:r>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w:t>
      </w:r>
      <w:r>
        <w:rPr>
          <w:rFonts w:ascii="PT Astra Serif" w:hAnsi="PT Astra Serif" w:cs="Times New Roman"/>
          <w:color w:val="000000"/>
          <w:sz w:val="28"/>
          <w:szCs w:val="28"/>
        </w:rPr>
        <w:t>решения о предоставлении муниципальной услуги или об отказе в предоставлении муниципальной услуги.</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Продолжительность административной процедуры составляет                           не более 15 календарных дней.</w:t>
      </w:r>
    </w:p>
    <w:p>
      <w:pPr>
        <w:pStyle w:val="af"/>
        <w:autoSpaceDE w:val="0"/>
        <w:autoSpaceDN w:val="0"/>
        <w:adjustRightInd w:val="0"/>
        <w:spacing w:after="0" w:line="240" w:lineRule="auto"/>
        <w:ind w:left="0"/>
        <w:jc w:val="center"/>
        <w:rPr>
          <w:rFonts w:ascii="PT Astra Serif" w:hAnsi="PT Astra Serif" w:cs="Times New Roman"/>
          <w:bCs/>
          <w:color w:val="000000"/>
          <w:sz w:val="28"/>
          <w:szCs w:val="28"/>
        </w:rPr>
      </w:pP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lastRenderedPageBreak/>
        <w:t xml:space="preserve">Выдача (направление) результата предоставления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color w:val="000000"/>
          <w:sz w:val="28"/>
          <w:szCs w:val="28"/>
        </w:rPr>
        <w:t>(отказа в предоставлении) муниципальной услуги заявителю</w:t>
      </w:r>
    </w:p>
    <w:p>
      <w:pPr>
        <w:spacing w:after="0" w:line="240" w:lineRule="auto"/>
        <w:jc w:val="center"/>
        <w:rPr>
          <w:rFonts w:ascii="PT Astra Serif" w:hAnsi="PT Astra Serif" w:cs="Times New Roman"/>
          <w:sz w:val="28"/>
          <w:szCs w:val="28"/>
          <w:highlight w:val="yellow"/>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 xml:space="preserve">Основанием для начала исполнения административной процедуры выдачи результата предоставления (отказа в предоставлении) муниципальной услуги является подписание уполномоченным лицом решения                                              о предоставлении или об отказе в предоставлении муниципальной услуги, регистрация их в системе электронного делопроизводства и документооборота и поступление его специалисту, ответственному за выдачу </w:t>
      </w:r>
      <w:r>
        <w:rPr>
          <w:rFonts w:ascii="PT Astra Serif" w:hAnsi="PT Astra Serif" w:cs="Times New Roman"/>
          <w:bCs/>
          <w:color w:val="000000"/>
          <w:sz w:val="28"/>
          <w:szCs w:val="28"/>
        </w:rPr>
        <w:t>результата предоставления муниципальной услуги</w:t>
      </w:r>
      <w:r>
        <w:rPr>
          <w:rFonts w:ascii="PT Astra Serif" w:hAnsi="PT Astra Serif" w:cs="Times New Roman"/>
          <w:color w:val="000000"/>
          <w:sz w:val="28"/>
          <w:szCs w:val="28"/>
        </w:rPr>
        <w:t>.</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2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вручает лично заявителю под подпись;</w:t>
      </w:r>
    </w:p>
    <w:p>
      <w:pPr>
        <w:pStyle w:val="af"/>
        <w:numPr>
          <w:ilvl w:val="0"/>
          <w:numId w:val="2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почтовым отправлением по адресу, указанному заявителем;</w:t>
      </w:r>
    </w:p>
    <w:p>
      <w:pPr>
        <w:pStyle w:val="af"/>
        <w:numPr>
          <w:ilvl w:val="0"/>
          <w:numId w:val="26"/>
        </w:numPr>
        <w:tabs>
          <w:tab w:val="left" w:pos="1134"/>
        </w:tabs>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направляет по адресу </w:t>
      </w:r>
      <w:r>
        <w:rPr>
          <w:rFonts w:ascii="PT Astra Serif" w:hAnsi="PT Astra Serif" w:cs="Times New Roman"/>
          <w:color w:val="000000" w:themeColor="text1"/>
          <w:sz w:val="28"/>
          <w:szCs w:val="28"/>
        </w:rPr>
        <w:t xml:space="preserve">электронной почты, либо </w:t>
      </w:r>
      <w:r>
        <w:rPr>
          <w:rFonts w:ascii="PT Astra Serif" w:hAnsi="PT Astra Serif" w:cs="Times New Roman"/>
          <w:sz w:val="28"/>
          <w:szCs w:val="28"/>
        </w:rPr>
        <w:t xml:space="preserve">с момента реализации технической возможности обеспечивает </w:t>
      </w:r>
      <w:r>
        <w:rPr>
          <w:rFonts w:ascii="PT Astra Serif" w:hAnsi="PT Astra Serif" w:cs="Times New Roman"/>
          <w:color w:val="000000"/>
          <w:sz w:val="28"/>
          <w:szCs w:val="28"/>
        </w:rPr>
        <w:t>направление заявителю уведомления                         в личный кабинет Едином портале, если иной порядок выдачи документа                            не определен заявителем при подаче запроса.</w:t>
      </w:r>
    </w:p>
    <w:p>
      <w:pPr>
        <w:spacing w:after="0" w:line="240" w:lineRule="auto"/>
        <w:ind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s>
        <w:spacing w:after="0" w:line="240" w:lineRule="auto"/>
        <w:ind w:firstLine="709"/>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Результатом административной процедуры является выдача (направление) заявителю копии решения о предоставлении или об отказе                                          в предоставлении муниципальной услуги.</w:t>
      </w:r>
    </w:p>
    <w:p>
      <w:pPr>
        <w:widowControl w:val="0"/>
        <w:tabs>
          <w:tab w:val="left" w:pos="992"/>
        </w:tabs>
        <w:spacing w:after="0" w:line="240" w:lineRule="auto"/>
        <w:ind w:firstLine="709"/>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color w:val="000000"/>
          <w:sz w:val="28"/>
          <w:szCs w:val="28"/>
        </w:rPr>
        <w:t>о предоставлении или об отказе в предоставлении муниципальной услуги</w:t>
      </w:r>
      <w:r>
        <w:rPr>
          <w:rFonts w:ascii="PT Astra Serif" w:eastAsia="Calibri" w:hAnsi="PT Astra Serif"/>
          <w:sz w:val="28"/>
          <w:szCs w:val="28"/>
          <w:lang w:eastAsia="en-US"/>
        </w:rPr>
        <w:t>.</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Продолжительность административной процедуры не более                             1 рабочего дня.</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color w:val="000000"/>
          <w:sz w:val="28"/>
          <w:szCs w:val="28"/>
        </w:rPr>
      </w:pPr>
      <w:r>
        <w:rPr>
          <w:rFonts w:ascii="PT Astra Serif" w:hAnsi="PT Astra Serif" w:cs="Times New Roman"/>
          <w:color w:val="000000"/>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2 рабочих </w:t>
      </w:r>
      <w:r>
        <w:rPr>
          <w:rFonts w:ascii="PT Astra Serif" w:hAnsi="PT Astra Serif" w:cs="Times New Roman"/>
          <w:color w:val="000000"/>
          <w:sz w:val="28"/>
          <w:szCs w:val="28"/>
        </w:rPr>
        <w:t xml:space="preserve">дней со дня принятия решения о предоставлении                             или об отказе в предоставлении муниципальной услуги направляет результат </w:t>
      </w:r>
      <w:r>
        <w:rPr>
          <w:rFonts w:ascii="PT Astra Serif" w:hAnsi="PT Astra Serif" w:cs="Times New Roman"/>
          <w:color w:val="000000"/>
          <w:sz w:val="28"/>
          <w:szCs w:val="28"/>
        </w:rPr>
        <w:lastRenderedPageBreak/>
        <w:t>предоставления муниципальной услуги в МФЦ для дальнейшей выдачи                            его заявителю.</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Порядок осуществления в электронной форме административных процедур (действий) в случае предоставления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 xml:space="preserve">в электронной форме (с момента реализации технической возможности), </w:t>
      </w:r>
    </w:p>
    <w:p>
      <w:pPr>
        <w:pStyle w:val="af"/>
        <w:autoSpaceDE w:val="0"/>
        <w:autoSpaceDN w:val="0"/>
        <w:adjustRightInd w:val="0"/>
        <w:spacing w:after="0" w:line="240" w:lineRule="auto"/>
        <w:ind w:left="0"/>
        <w:jc w:val="center"/>
        <w:rPr>
          <w:rFonts w:ascii="PT Astra Serif" w:hAnsi="PT Astra Serif" w:cs="Times New Roman"/>
          <w:b/>
          <w:bCs/>
          <w:color w:val="000000"/>
          <w:sz w:val="28"/>
          <w:szCs w:val="28"/>
        </w:rPr>
      </w:pPr>
      <w:r>
        <w:rPr>
          <w:rFonts w:ascii="PT Astra Serif" w:hAnsi="PT Astra Serif" w:cs="Times New Roman"/>
          <w:b/>
          <w:bCs/>
          <w:color w:val="000000"/>
          <w:sz w:val="28"/>
          <w:szCs w:val="28"/>
        </w:rPr>
        <w:t>в том числе с использованием Единого портала, официального сайта Уполномоченного органа</w:t>
      </w:r>
      <w:r>
        <w:rPr>
          <w:rStyle w:val="a5"/>
          <w:rFonts w:ascii="PT Astra Serif" w:hAnsi="PT Astra Serif" w:cs="Times New Roman"/>
          <w:b/>
          <w:bCs/>
          <w:color w:val="000000"/>
          <w:sz w:val="28"/>
          <w:szCs w:val="28"/>
        </w:rPr>
        <w:footnoteReference w:id="1"/>
      </w:r>
    </w:p>
    <w:p>
      <w:pPr>
        <w:autoSpaceDE w:val="0"/>
        <w:autoSpaceDN w:val="0"/>
        <w:adjustRightInd w:val="0"/>
        <w:spacing w:after="0" w:line="240" w:lineRule="auto"/>
        <w:jc w:val="center"/>
        <w:rPr>
          <w:rFonts w:ascii="PT Astra Serif" w:hAnsi="PT Astra Serif" w:cs="Times New Roman"/>
          <w:bCs/>
          <w:color w:val="000000"/>
          <w:sz w:val="28"/>
          <w:szCs w:val="28"/>
        </w:rPr>
      </w:pPr>
    </w:p>
    <w:p>
      <w:pPr>
        <w:pStyle w:val="af"/>
        <w:numPr>
          <w:ilvl w:val="0"/>
          <w:numId w:val="38"/>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3 настоящего регламента</w:t>
      </w:r>
      <w:r>
        <w:rPr>
          <w:rFonts w:ascii="PT Astra Serif" w:hAnsi="PT Astra Serif" w:cs="Times New Roman"/>
          <w:sz w:val="28"/>
          <w:szCs w:val="28"/>
        </w:rPr>
        <w:t>.</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Уполномоченным органом осуществляется прием заявителей по предварительной записи.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Запись на прием проводится посредством Единого портала (с момента реализации технической возможности).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pStyle w:val="af"/>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официальном сайте Уполномоченного органа размещаются образцы заполнения электронной формы запроса.</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копирования и сохранения запроса;</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направляется                                 в Уполномоченный орган посредством Единого портала, официального сайта Уполномоченного органа.</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w:t>
      </w:r>
      <w:r>
        <w:rPr>
          <w:rFonts w:ascii="PT Astra Serif" w:hAnsi="PT Astra Serif" w:cs="Times New Roman"/>
          <w:color w:val="000000"/>
          <w:sz w:val="28"/>
          <w:szCs w:val="28"/>
        </w:rPr>
        <w:t xml:space="preserve">пунктами </w:t>
      </w:r>
      <w:r>
        <w:rPr>
          <w:rFonts w:ascii="PT Astra Serif" w:hAnsi="PT Astra Serif" w:cs="Times New Roman"/>
          <w:sz w:val="28"/>
          <w:szCs w:val="28"/>
        </w:rPr>
        <w:t xml:space="preserve">11 – 11.2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2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Государственная пошлина за предоставление муниципальной услуги                                 не взимается.</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муниципальной услуги заявитель по его выбору вправе получить:</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копию решения о подготовке ДПТ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копию решения о подготовке ДПТ на бумажном носителе, подтверждающего содержание электронного документа, направленного Уполномоченным органом, в МФЦ (при электронном взаимодействии                       через СМЭВ);</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копию решения о подготовке ДПТ на бумажном носителе.</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2"/>
          <w:numId w:val="3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записи на прием в Уполномоченный орган (описывается в случае необходимости дополнительно);</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pPr>
        <w:pStyle w:val="af"/>
        <w:autoSpaceDE w:val="0"/>
        <w:autoSpaceDN w:val="0"/>
        <w:adjustRightInd w:val="0"/>
        <w:spacing w:after="0" w:line="240" w:lineRule="auto"/>
        <w:ind w:left="0"/>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 </w:t>
      </w:r>
      <w:r>
        <w:rPr>
          <w:rFonts w:ascii="PT Astra Serif" w:eastAsia="Calibri" w:hAnsi="PT Astra Serif" w:cs="Helv"/>
          <w:color w:val="000000"/>
          <w:sz w:val="28"/>
          <w:szCs w:val="28"/>
        </w:rPr>
        <w:t>Рекомендуемая форма заявления приведена в приложении № 2 к настоящему регламенту.</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с момента реализации технической возможности. </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муниципальной услуги документах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 </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отсутствия опечаток и (или) ошибок в документах, выданных в результате предоставления муниципальной услуги, с</w:t>
      </w:r>
      <w:r>
        <w:rPr>
          <w:rFonts w:ascii="PT Astra Serif" w:hAnsi="PT Astra Serif" w:cs="Times New Roman"/>
          <w:color w:val="000000"/>
          <w:sz w:val="28"/>
          <w:szCs w:val="28"/>
        </w:rPr>
        <w:t>пециалист</w:t>
      </w:r>
      <w:r>
        <w:rPr>
          <w:rFonts w:ascii="PT Astra Serif" w:hAnsi="PT Astra Serif" w:cs="Times New Roman"/>
          <w:sz w:val="28"/>
          <w:szCs w:val="28"/>
        </w:rPr>
        <w:t xml:space="preserve"> Уполномоченного органа</w:t>
      </w:r>
      <w:r>
        <w:rPr>
          <w:rFonts w:ascii="PT Astra Serif" w:hAnsi="PT Astra Serif" w:cs="Times New Roman"/>
          <w:color w:val="000000"/>
          <w:sz w:val="28"/>
          <w:szCs w:val="28"/>
        </w:rPr>
        <w:t xml:space="preserve">, ответственный за рассмотрение документов                                 </w:t>
      </w:r>
      <w:r>
        <w:rPr>
          <w:rFonts w:ascii="PT Astra Serif" w:hAnsi="PT Astra Serif" w:cs="Times New Roman"/>
          <w:sz w:val="28"/>
          <w:szCs w:val="28"/>
        </w:rPr>
        <w:t xml:space="preserve">на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5"/>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Особенности выполнения административных                                                    процедур (действий) в МФЦ</w:t>
      </w:r>
    </w:p>
    <w:p>
      <w:pPr>
        <w:pStyle w:val="af"/>
        <w:autoSpaceDE w:val="0"/>
        <w:autoSpaceDN w:val="0"/>
        <w:adjustRightInd w:val="0"/>
        <w:spacing w:after="0" w:line="240" w:lineRule="auto"/>
        <w:ind w:left="0"/>
        <w:rPr>
          <w:rFonts w:ascii="PT Astra Serif" w:hAnsi="PT Astra Serif" w:cs="Times New Roman"/>
          <w:bCs/>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38"/>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пункте 9.3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38"/>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Ямало-Ненецкого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38"/>
        </w:numPr>
        <w:tabs>
          <w:tab w:val="left" w:pos="1560"/>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jc w:val="center"/>
        <w:rPr>
          <w:rFonts w:ascii="PT Astra Serif" w:hAnsi="PT Astra Serif" w:cs="Times New Roman"/>
          <w:sz w:val="28"/>
          <w:szCs w:val="28"/>
        </w:rPr>
      </w:pPr>
    </w:p>
    <w:p>
      <w:pPr>
        <w:pStyle w:val="af"/>
        <w:numPr>
          <w:ilvl w:val="0"/>
          <w:numId w:val="5"/>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w:t>
      </w:r>
    </w:p>
    <w:p>
      <w:pPr>
        <w:pStyle w:val="af"/>
        <w:tabs>
          <w:tab w:val="left" w:pos="0"/>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соответствии с настоящим регламентом</w:t>
      </w:r>
    </w:p>
    <w:p>
      <w:pPr>
        <w:autoSpaceDE w:val="0"/>
        <w:autoSpaceDN w:val="0"/>
        <w:adjustRightInd w:val="0"/>
        <w:spacing w:after="0" w:line="240" w:lineRule="auto"/>
        <w:ind w:firstLine="567"/>
        <w:jc w:val="center"/>
        <w:rPr>
          <w:rFonts w:ascii="PT Astra Serif" w:hAnsi="PT Astra Serif" w:cs="Times New Roman"/>
          <w:sz w:val="28"/>
          <w:szCs w:val="28"/>
          <w:highlight w:val="yellow"/>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специалистом Уполномоченного органа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Порядок и периодичность осуществления плановых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и внеплановых проверок полноты и качества предоставления муниципальной услуги, в том числе порядок и формы контроля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Ответственность должностных лиц, муниципальных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служащих Уполномоченного органа, работников МФЦ, за решения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и действия (бездействие), принимаемые (осуществляемые) ими в ходе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1"/>
          <w:numId w:val="38"/>
        </w:numPr>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1"/>
          <w:numId w:val="38"/>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autoSpaceDE w:val="0"/>
        <w:autoSpaceDN w:val="0"/>
        <w:adjustRightInd w:val="0"/>
        <w:spacing w:after="0" w:line="240" w:lineRule="auto"/>
        <w:ind w:firstLine="567"/>
        <w:jc w:val="both"/>
        <w:rPr>
          <w:rFonts w:ascii="PT Astra Serif" w:hAnsi="PT Astra Serif" w:cs="Times New Roman"/>
          <w:sz w:val="28"/>
          <w:szCs w:val="28"/>
        </w:rPr>
      </w:pPr>
    </w:p>
    <w:p>
      <w:pPr>
        <w:autoSpaceDE w:val="0"/>
        <w:autoSpaceDN w:val="0"/>
        <w:adjustRightInd w:val="0"/>
        <w:spacing w:after="0" w:line="240" w:lineRule="auto"/>
        <w:ind w:firstLine="567"/>
        <w:jc w:val="both"/>
        <w:rPr>
          <w:rFonts w:ascii="PT Astra Serif" w:hAnsi="PT Astra Serif" w:cs="Times New Roman"/>
          <w:sz w:val="28"/>
          <w:szCs w:val="28"/>
        </w:rPr>
      </w:pPr>
    </w:p>
    <w:p>
      <w:pPr>
        <w:autoSpaceDE w:val="0"/>
        <w:autoSpaceDN w:val="0"/>
        <w:adjustRightInd w:val="0"/>
        <w:spacing w:after="0" w:line="240" w:lineRule="auto"/>
        <w:ind w:firstLine="567"/>
        <w:jc w:val="center"/>
        <w:rPr>
          <w:rFonts w:ascii="PT Astra Serif" w:hAnsi="PT Astra Serif" w:cs="Times New Roman"/>
          <w:sz w:val="28"/>
          <w:szCs w:val="28"/>
        </w:rPr>
      </w:pPr>
    </w:p>
    <w:p>
      <w:pPr>
        <w:autoSpaceDE w:val="0"/>
        <w:autoSpaceDN w:val="0"/>
        <w:adjustRightInd w:val="0"/>
        <w:spacing w:after="0" w:line="240" w:lineRule="auto"/>
        <w:ind w:firstLine="567"/>
        <w:jc w:val="center"/>
        <w:rPr>
          <w:rFonts w:ascii="PT Astra Serif" w:hAnsi="PT Astra Serif" w:cs="Times New Roman"/>
          <w:sz w:val="28"/>
          <w:szCs w:val="28"/>
        </w:rPr>
      </w:pPr>
    </w:p>
    <w:p>
      <w:pPr>
        <w:autoSpaceDE w:val="0"/>
        <w:autoSpaceDN w:val="0"/>
        <w:adjustRightInd w:val="0"/>
        <w:spacing w:after="0" w:line="240" w:lineRule="auto"/>
        <w:ind w:firstLine="567"/>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lastRenderedPageBreak/>
        <w:t>Положения, характеризующие требования к порядку</w:t>
      </w: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и формам контроля за предоставлением муниципальной услуги,</w:t>
      </w: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в том числе со стороны граждан, их объединений и организаций</w:t>
      </w:r>
    </w:p>
    <w:p>
      <w:pPr>
        <w:autoSpaceDE w:val="0"/>
        <w:autoSpaceDN w:val="0"/>
        <w:adjustRightInd w:val="0"/>
        <w:spacing w:after="0" w:line="240" w:lineRule="auto"/>
        <w:ind w:firstLine="567"/>
        <w:jc w:val="center"/>
        <w:rPr>
          <w:rFonts w:ascii="PT Astra Serif" w:hAnsi="PT Astra Serif" w:cs="PT Astra Serif"/>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autoSpaceDE w:val="0"/>
        <w:autoSpaceDN w:val="0"/>
        <w:adjustRightInd w:val="0"/>
        <w:spacing w:after="0" w:line="240" w:lineRule="auto"/>
        <w:jc w:val="center"/>
        <w:rPr>
          <w:rFonts w:ascii="PT Astra Serif" w:hAnsi="PT Astra Serif" w:cs="Times New Roman"/>
          <w:sz w:val="28"/>
          <w:szCs w:val="28"/>
          <w:highlight w:val="yellow"/>
        </w:rPr>
      </w:pPr>
    </w:p>
    <w:p>
      <w:pPr>
        <w:pStyle w:val="af"/>
        <w:numPr>
          <w:ilvl w:val="0"/>
          <w:numId w:val="5"/>
        </w:numPr>
        <w:tabs>
          <w:tab w:val="left" w:pos="567"/>
        </w:tabs>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w:t>
      </w:r>
    </w:p>
    <w:p>
      <w:pPr>
        <w:pStyle w:val="af"/>
        <w:tabs>
          <w:tab w:val="left" w:pos="567"/>
        </w:tabs>
        <w:autoSpaceDE w:val="0"/>
        <w:autoSpaceDN w:val="0"/>
        <w:adjustRightInd w:val="0"/>
        <w:spacing w:after="0" w:line="240" w:lineRule="auto"/>
        <w:ind w:left="0"/>
        <w:jc w:val="center"/>
        <w:rPr>
          <w:rFonts w:ascii="PT Astra Serif" w:hAnsi="PT Astra Serif"/>
          <w:b/>
          <w:sz w:val="28"/>
          <w:szCs w:val="28"/>
        </w:rPr>
      </w:pPr>
      <w:r>
        <w:rPr>
          <w:rFonts w:ascii="PT Astra Serif" w:hAnsi="PT Astra Serif"/>
          <w:b/>
          <w:sz w:val="28"/>
          <w:szCs w:val="28"/>
        </w:rPr>
        <w:t>Решений и действий (бездействия) Уполномоченного органа, МФЦ,</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sz w:val="28"/>
          <w:szCs w:val="28"/>
        </w:rPr>
      </w:pP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для предоставления государственной услуги;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1"/>
          <w:numId w:val="3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 210-ФЗ.</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подпунктами 2, 5, 7, 9 пункта 32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Уполномоченного органа, рассматриваются непосредственно руководителем Уполномоченного органа.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(с момента реализации технической возможности), а также может                     быть принята при личном приеме заявителя.</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(или) действия (бездействие) Уполномоченного органа, должностных лиц Уполномоченного органа,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w:t>
      </w:r>
      <w:r>
        <w:rPr>
          <w:rFonts w:ascii="PT Astra Serif" w:hAnsi="PT Astra Serif" w:cs="Times New Roman"/>
          <w:spacing w:val="-20"/>
          <w:sz w:val="28"/>
          <w:szCs w:val="28"/>
        </w:rPr>
        <w:t>Российской Федерации</w:t>
      </w:r>
      <w:r>
        <w:rPr>
          <w:rFonts w:ascii="PT Astra Serif" w:hAnsi="PT Astra Serif" w:cs="Times New Roman"/>
          <w:sz w:val="28"/>
          <w:szCs w:val="28"/>
        </w:rPr>
        <w:t>, в антимонопольный орган.</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1"/>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1"/>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41 настоящего регламента);</w:t>
      </w:r>
    </w:p>
    <w:p>
      <w:pPr>
        <w:pStyle w:val="af"/>
        <w:numPr>
          <w:ilvl w:val="1"/>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1"/>
          <w:numId w:val="2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w:t>
      </w:r>
      <w:r>
        <w:rPr>
          <w:rFonts w:ascii="PT Astra Serif" w:hAnsi="PT Astra Serif" w:cs="Times New Roman"/>
          <w:spacing w:val="-20"/>
          <w:sz w:val="28"/>
          <w:szCs w:val="28"/>
        </w:rPr>
        <w:t>содержащая неточное</w:t>
      </w:r>
      <w:r>
        <w:rPr>
          <w:rFonts w:ascii="PT Astra Serif" w:hAnsi="PT Astra Serif" w:cs="Times New Roman"/>
          <w:sz w:val="28"/>
          <w:szCs w:val="28"/>
        </w:rPr>
        <w:t xml:space="preserve">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w:t>
      </w:r>
      <w:r>
        <w:rPr>
          <w:rFonts w:ascii="PT Astra Serif" w:hAnsi="PT Astra Serif" w:cs="Times New Roman"/>
          <w:sz w:val="28"/>
          <w:szCs w:val="28"/>
        </w:rPr>
        <w:lastRenderedPageBreak/>
        <w:t>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1"/>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26"/>
      <w:bookmarkEnd w:id="2"/>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подаче жалобы в электронной форме документы, указанные                         в пункте 39 настоящего регламента, могут быть представлены в форме электронных документов, подписанных электронной подписью, вид которой </w:t>
      </w:r>
      <w:r>
        <w:rPr>
          <w:rFonts w:ascii="PT Astra Serif" w:hAnsi="PT Astra Serif" w:cs="Times New Roman"/>
          <w:sz w:val="28"/>
          <w:szCs w:val="28"/>
        </w:rPr>
        <w:lastRenderedPageBreak/>
        <w:t>предусмотрен законодательством Российской Федерации, при этом документ, удостоверяющий личность заявителя, не требуется.</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30"/>
      <w:bookmarkEnd w:id="3"/>
      <w:r>
        <w:rPr>
          <w:rFonts w:ascii="PT Astra Serif" w:hAnsi="PT Astra Serif" w:cs="Times New Roman"/>
          <w:sz w:val="28"/>
          <w:szCs w:val="28"/>
        </w:rPr>
        <w:t xml:space="preserve">Жалоба рассматривается: </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43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44 настоящего регламента.</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информирование заявителей о порядке обжалования решений                          и действий (бездействия) Уполномоченного органа, его должностных лиц либо </w:t>
      </w:r>
      <w:r>
        <w:rPr>
          <w:rFonts w:ascii="PT Astra Serif" w:hAnsi="PT Astra Serif" w:cs="Times New Roman"/>
          <w:sz w:val="28"/>
          <w:szCs w:val="28"/>
        </w:rPr>
        <w:lastRenderedPageBreak/>
        <w:t>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4" w:name="Par13"/>
      <w:bookmarkStart w:id="5" w:name="Par35"/>
      <w:bookmarkEnd w:id="4"/>
      <w:bookmarkEnd w:id="5"/>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Ответ по результатам рассмотрения жалобы направляется заявителю не позднее дня, следующего за днем принятия решения, в письменной                          </w:t>
      </w:r>
      <w:r>
        <w:rPr>
          <w:rFonts w:ascii="PT Astra Serif" w:hAnsi="PT Astra Serif" w:cs="Times New Roman"/>
          <w:sz w:val="28"/>
          <w:szCs w:val="28"/>
        </w:rPr>
        <w:lastRenderedPageBreak/>
        <w:t>форме. В случае если жалоба была направлена способом, указанным                                в подпункте 3 пункта 41 настоящего регламента, ответ заявителю направляется посредством системы досудебного обжалования.</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52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52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(при наличии) лица, принявшего решение по жалобе;</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(при наличии) или наименование заявителя;</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ConsPlusNormal"/>
        <w:numPr>
          <w:ilvl w:val="0"/>
          <w:numId w:val="38"/>
        </w:numPr>
        <w:tabs>
          <w:tab w:val="left" w:pos="1276"/>
        </w:tabs>
        <w:ind w:left="0" w:firstLine="709"/>
        <w:jc w:val="both"/>
        <w:rPr>
          <w:rFonts w:ascii="PT Astra Serif" w:hAnsi="PT Astra Serif"/>
        </w:rPr>
      </w:pPr>
      <w:r>
        <w:rPr>
          <w:rFonts w:ascii="PT Astra Serif" w:hAnsi="PT Astra Serif" w:cs="PT Astra Serif"/>
          <w:color w:val="000000"/>
        </w:rPr>
        <w:t>Уполномоченный орган</w:t>
      </w:r>
      <w:r>
        <w:rPr>
          <w:rFonts w:ascii="PT Astra Serif" w:hAnsi="PT Astra Serif"/>
        </w:rPr>
        <w:t>, МФЦ, учредитель МФЦ, уполномоченные на рассмотрение жалобы,</w:t>
      </w:r>
      <w:r>
        <w:rPr>
          <w:rFonts w:ascii="PT Astra Serif" w:hAnsi="PT Astra Serif" w:cs="PT Astra Serif"/>
          <w:color w:val="000000"/>
        </w:rPr>
        <w:t xml:space="preserve"> </w:t>
      </w:r>
      <w:r>
        <w:rPr>
          <w:rFonts w:ascii="PT Astra Serif" w:hAnsi="PT Astra Serif"/>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Уполномоченный на рассмотрение жалобы орган, МФЦ оставляет жалобу без ответа в следующих случаях</w:t>
      </w:r>
      <w:r>
        <w:rPr>
          <w:rFonts w:ascii="PT Astra Serif" w:hAnsi="PT Astra Serif" w:cs="PT Astra Serif"/>
          <w:color w:val="000000"/>
          <w:sz w:val="28"/>
          <w:szCs w:val="28"/>
        </w:rPr>
        <w:t>:</w:t>
      </w:r>
    </w:p>
    <w:p>
      <w:pPr>
        <w:pStyle w:val="ConsPlusNormal"/>
        <w:numPr>
          <w:ilvl w:val="0"/>
          <w:numId w:val="35"/>
        </w:numPr>
        <w:tabs>
          <w:tab w:val="left" w:pos="1134"/>
        </w:tabs>
        <w:ind w:left="0" w:firstLine="709"/>
        <w:jc w:val="both"/>
        <w:rPr>
          <w:rFonts w:ascii="PT Astra Serif" w:hAnsi="PT Astra Serif"/>
        </w:rPr>
      </w:pPr>
      <w:r>
        <w:rPr>
          <w:rFonts w:ascii="PT Astra Serif" w:hAnsi="PT Astra Serif"/>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r>
        <w:rPr>
          <w:rFonts w:ascii="PT Astra Serif" w:hAnsi="PT Astra Serif" w:cs="Times New Roman"/>
          <w:sz w:val="28"/>
          <w:szCs w:val="28"/>
        </w:rPr>
        <w:t>;</w:t>
      </w:r>
    </w:p>
    <w:p>
      <w:pPr>
        <w:pStyle w:val="ConsPlusNormal"/>
        <w:numPr>
          <w:ilvl w:val="0"/>
          <w:numId w:val="35"/>
        </w:numPr>
        <w:tabs>
          <w:tab w:val="left" w:pos="1134"/>
        </w:tabs>
        <w:ind w:left="0" w:firstLine="709"/>
        <w:jc w:val="both"/>
        <w:rPr>
          <w:rFonts w:ascii="PT Astra Serif" w:hAnsi="PT Astra Serif"/>
        </w:rPr>
      </w:pPr>
      <w:r>
        <w:rPr>
          <w:rFonts w:ascii="PT Astra Serif" w:hAnsi="PT Astra Serif" w:cs="PT Astra Serif"/>
        </w:rPr>
        <w:t>текст жалобы не позволяет определить ее суть, о чем в течение 7 дней со дня регистрации жалобы сообщается гражданину, направившему жалобу</w:t>
      </w:r>
      <w:r>
        <w:rPr>
          <w:rFonts w:ascii="PT Astra Serif" w:hAnsi="PT Astra Serif"/>
        </w:rPr>
        <w:t>.</w:t>
      </w:r>
    </w:p>
    <w:p>
      <w:pPr>
        <w:pStyle w:val="ConsPlusNormal"/>
        <w:tabs>
          <w:tab w:val="left" w:pos="1134"/>
        </w:tabs>
        <w:ind w:firstLine="709"/>
        <w:jc w:val="both"/>
        <w:rPr>
          <w:rFonts w:ascii="PT Astra Serif" w:hAnsi="PT Astra Serif"/>
        </w:rPr>
      </w:pPr>
      <w:r>
        <w:rPr>
          <w:rFonts w:ascii="PT Astra Serif" w:hAnsi="PT Astra Serif"/>
        </w:rPr>
        <w:t xml:space="preserve">В случаях предусмотренных подпунктами 2, 3 жалоба не подлежит направлению на рассмотрение лицам, указанным в пункте 43 настоящего регламента, в соответствии с их компетенцией, </w:t>
      </w:r>
      <w:r>
        <w:rPr>
          <w:rFonts w:ascii="PT Astra Serif" w:eastAsia="Calibri" w:hAnsi="PT Astra Serif" w:cs="PT Astra Serif"/>
          <w:lang w:eastAsia="en-US"/>
        </w:rPr>
        <w:t>о чем в течение 3 рабочих дней со дня регистрации жалобы сообщается гражданину, направившему жалобу.</w:t>
      </w:r>
    </w:p>
    <w:p>
      <w:pPr>
        <w:pStyle w:val="af"/>
        <w:numPr>
          <w:ilvl w:val="0"/>
          <w:numId w:val="38"/>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spacing w:after="0" w:line="240" w:lineRule="auto"/>
        <w:jc w:val="both"/>
        <w:rPr>
          <w:rFonts w:ascii="PT Astra Serif" w:hAnsi="PT Astra Serif" w:cs="Times New Roman"/>
          <w:sz w:val="28"/>
          <w:szCs w:val="28"/>
        </w:rPr>
      </w:pPr>
    </w:p>
    <w:p>
      <w:pPr>
        <w:spacing w:after="0" w:line="240" w:lineRule="auto"/>
        <w:jc w:val="both"/>
        <w:rPr>
          <w:rFonts w:ascii="PT Astra Serif" w:hAnsi="PT Astra Serif" w:cs="Times New Roman"/>
          <w:sz w:val="28"/>
          <w:szCs w:val="28"/>
        </w:rPr>
      </w:pPr>
    </w:p>
    <w:sectPr>
      <w:headerReference w:type="default" r:id="rId13"/>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a3"/>
        <w:rPr>
          <w:rFonts w:ascii="PT Astra Serif" w:hAnsi="PT Astra Serif"/>
        </w:rPr>
      </w:pPr>
      <w:r>
        <w:rPr>
          <w:rStyle w:val="a5"/>
          <w:rFonts w:ascii="PT Astra Serif" w:hAnsi="PT Astra Serif"/>
        </w:rPr>
        <w:footnoteRef/>
      </w:r>
      <w:r>
        <w:rPr>
          <w:rFonts w:ascii="PT Astra Serif" w:hAnsi="PT Astra Serif"/>
        </w:rPr>
        <w:t xml:space="preserve"> </w:t>
      </w:r>
      <w:r>
        <w:rPr>
          <w:rFonts w:ascii="PT Astra Serif" w:hAnsi="PT Astra Serif"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szCs w:val="24"/>
      </w:rPr>
    </w:sdtEndPr>
    <w:sdtContent>
      <w:p>
        <w:pPr>
          <w:pStyle w:val="a6"/>
          <w:jc w:val="center"/>
          <w:rPr>
            <w:rFonts w:ascii="PT Astra Serif" w:hAnsi="PT Astra Serif" w:cs="Times New Roman"/>
            <w:noProof/>
            <w:sz w:val="24"/>
            <w:szCs w:val="24"/>
          </w:rPr>
        </w:pPr>
        <w:r>
          <w:rPr>
            <w:rFonts w:ascii="PT Astra Serif" w:hAnsi="PT Astra Serif" w:cs="Times New Roman"/>
            <w:sz w:val="24"/>
            <w:szCs w:val="24"/>
          </w:rPr>
          <w:fldChar w:fldCharType="begin"/>
        </w:r>
        <w:r>
          <w:rPr>
            <w:rFonts w:ascii="PT Astra Serif" w:hAnsi="PT Astra Serif" w:cs="Times New Roman"/>
            <w:sz w:val="24"/>
            <w:szCs w:val="24"/>
          </w:rPr>
          <w:instrText xml:space="preserve"> PAGE   \* MERGEFORMAT </w:instrText>
        </w:r>
        <w:r>
          <w:rPr>
            <w:rFonts w:ascii="PT Astra Serif" w:hAnsi="PT Astra Serif" w:cs="Times New Roman"/>
            <w:sz w:val="24"/>
            <w:szCs w:val="24"/>
          </w:rPr>
          <w:fldChar w:fldCharType="separate"/>
        </w:r>
        <w:r>
          <w:rPr>
            <w:rFonts w:ascii="PT Astra Serif" w:hAnsi="PT Astra Serif" w:cs="Times New Roman"/>
            <w:noProof/>
            <w:sz w:val="24"/>
            <w:szCs w:val="24"/>
          </w:rPr>
          <w:t>3</w:t>
        </w:r>
        <w:r>
          <w:rPr>
            <w:rFonts w:ascii="PT Astra Serif" w:hAnsi="PT Astra Serif" w:cs="Times New Roman"/>
            <w:noProof/>
            <w:sz w:val="24"/>
            <w:szCs w:val="24"/>
          </w:rPr>
          <w:fldChar w:fldCharType="end"/>
        </w:r>
      </w:p>
      <w:p>
        <w:pPr>
          <w:pStyle w:val="a6"/>
          <w:jc w:val="center"/>
          <w:rPr>
            <w:rFonts w:ascii="PT Astra Serif" w:hAnsi="PT Astra Serif"/>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B21813"/>
    <w:multiLevelType w:val="multilevel"/>
    <w:tmpl w:val="3A08C282"/>
    <w:lvl w:ilvl="0">
      <w:start w:val="1"/>
      <w:numFmt w:val="decimal"/>
      <w:lvlText w:val="%1."/>
      <w:lvlJc w:val="left"/>
      <w:pPr>
        <w:ind w:left="1512" w:hanging="945"/>
      </w:pPr>
      <w:rPr>
        <w:rFonts w:hint="default"/>
        <w:strike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6761A34"/>
    <w:multiLevelType w:val="multilevel"/>
    <w:tmpl w:val="D0D28E54"/>
    <w:lvl w:ilvl="0">
      <w:start w:val="16"/>
      <w:numFmt w:val="decimal"/>
      <w:lvlText w:val="%1."/>
      <w:lvlJc w:val="left"/>
      <w:pPr>
        <w:ind w:left="480" w:hanging="480"/>
      </w:pPr>
      <w:rPr>
        <w:rFonts w:hint="default"/>
      </w:rPr>
    </w:lvl>
    <w:lvl w:ilvl="1">
      <w:start w:val="1"/>
      <w:numFmt w:val="decimal"/>
      <w:lvlText w:val="%1.%2."/>
      <w:lvlJc w:val="left"/>
      <w:pPr>
        <w:ind w:left="1379" w:hanging="480"/>
      </w:pPr>
      <w:rPr>
        <w:rFonts w:hint="default"/>
        <w:i w:val="0"/>
        <w:sz w:val="28"/>
        <w:szCs w:val="28"/>
      </w:rPr>
    </w:lvl>
    <w:lvl w:ilvl="2">
      <w:start w:val="1"/>
      <w:numFmt w:val="decimal"/>
      <w:lvlText w:val="%1.%2.%3."/>
      <w:lvlJc w:val="left"/>
      <w:pPr>
        <w:ind w:left="2518" w:hanging="720"/>
      </w:pPr>
      <w:rPr>
        <w:rFonts w:hint="default"/>
      </w:rPr>
    </w:lvl>
    <w:lvl w:ilvl="3">
      <w:start w:val="1"/>
      <w:numFmt w:val="decimal"/>
      <w:lvlText w:val="%1.%2.%3.%4."/>
      <w:lvlJc w:val="left"/>
      <w:pPr>
        <w:ind w:left="3417" w:hanging="720"/>
      </w:pPr>
      <w:rPr>
        <w:rFonts w:hint="default"/>
      </w:rPr>
    </w:lvl>
    <w:lvl w:ilvl="4">
      <w:start w:val="1"/>
      <w:numFmt w:val="decimal"/>
      <w:lvlText w:val="%1.%2.%3.%4.%5."/>
      <w:lvlJc w:val="left"/>
      <w:pPr>
        <w:ind w:left="4676" w:hanging="1080"/>
      </w:pPr>
      <w:rPr>
        <w:rFonts w:hint="default"/>
      </w:rPr>
    </w:lvl>
    <w:lvl w:ilvl="5">
      <w:start w:val="1"/>
      <w:numFmt w:val="decimal"/>
      <w:lvlText w:val="%1.%2.%3.%4.%5.%6."/>
      <w:lvlJc w:val="left"/>
      <w:pPr>
        <w:ind w:left="5575" w:hanging="1080"/>
      </w:pPr>
      <w:rPr>
        <w:rFonts w:hint="default"/>
      </w:rPr>
    </w:lvl>
    <w:lvl w:ilvl="6">
      <w:start w:val="1"/>
      <w:numFmt w:val="decimal"/>
      <w:lvlText w:val="%1.%2.%3.%4.%5.%6.%7."/>
      <w:lvlJc w:val="left"/>
      <w:pPr>
        <w:ind w:left="6834" w:hanging="1440"/>
      </w:pPr>
      <w:rPr>
        <w:rFonts w:hint="default"/>
      </w:rPr>
    </w:lvl>
    <w:lvl w:ilvl="7">
      <w:start w:val="1"/>
      <w:numFmt w:val="decimal"/>
      <w:lvlText w:val="%1.%2.%3.%4.%5.%6.%7.%8."/>
      <w:lvlJc w:val="left"/>
      <w:pPr>
        <w:ind w:left="7733" w:hanging="1440"/>
      </w:pPr>
      <w:rPr>
        <w:rFonts w:hint="default"/>
      </w:rPr>
    </w:lvl>
    <w:lvl w:ilvl="8">
      <w:start w:val="1"/>
      <w:numFmt w:val="decimal"/>
      <w:lvlText w:val="%1.%2.%3.%4.%5.%6.%7.%8.%9."/>
      <w:lvlJc w:val="left"/>
      <w:pPr>
        <w:ind w:left="8992" w:hanging="1800"/>
      </w:pPr>
      <w:rPr>
        <w:rFonts w:hint="default"/>
      </w:rPr>
    </w:lvl>
  </w:abstractNum>
  <w:abstractNum w:abstractNumId="3">
    <w:nsid w:val="0BB005A2"/>
    <w:multiLevelType w:val="multilevel"/>
    <w:tmpl w:val="D0D28E54"/>
    <w:lvl w:ilvl="0">
      <w:start w:val="16"/>
      <w:numFmt w:val="decimal"/>
      <w:lvlText w:val="%1."/>
      <w:lvlJc w:val="left"/>
      <w:pPr>
        <w:ind w:left="480" w:hanging="480"/>
      </w:pPr>
      <w:rPr>
        <w:rFonts w:hint="default"/>
      </w:rPr>
    </w:lvl>
    <w:lvl w:ilvl="1">
      <w:start w:val="1"/>
      <w:numFmt w:val="decimal"/>
      <w:lvlText w:val="%1.%2."/>
      <w:lvlJc w:val="left"/>
      <w:pPr>
        <w:ind w:left="1379" w:hanging="480"/>
      </w:pPr>
      <w:rPr>
        <w:rFonts w:hint="default"/>
        <w:i w:val="0"/>
        <w:sz w:val="28"/>
        <w:szCs w:val="28"/>
      </w:rPr>
    </w:lvl>
    <w:lvl w:ilvl="2">
      <w:start w:val="1"/>
      <w:numFmt w:val="decimal"/>
      <w:lvlText w:val="%1.%2.%3."/>
      <w:lvlJc w:val="left"/>
      <w:pPr>
        <w:ind w:left="2518" w:hanging="720"/>
      </w:pPr>
      <w:rPr>
        <w:rFonts w:hint="default"/>
      </w:rPr>
    </w:lvl>
    <w:lvl w:ilvl="3">
      <w:start w:val="1"/>
      <w:numFmt w:val="decimal"/>
      <w:lvlText w:val="%1.%2.%3.%4."/>
      <w:lvlJc w:val="left"/>
      <w:pPr>
        <w:ind w:left="3417" w:hanging="720"/>
      </w:pPr>
      <w:rPr>
        <w:rFonts w:hint="default"/>
      </w:rPr>
    </w:lvl>
    <w:lvl w:ilvl="4">
      <w:start w:val="1"/>
      <w:numFmt w:val="decimal"/>
      <w:lvlText w:val="%1.%2.%3.%4.%5."/>
      <w:lvlJc w:val="left"/>
      <w:pPr>
        <w:ind w:left="4676" w:hanging="1080"/>
      </w:pPr>
      <w:rPr>
        <w:rFonts w:hint="default"/>
      </w:rPr>
    </w:lvl>
    <w:lvl w:ilvl="5">
      <w:start w:val="1"/>
      <w:numFmt w:val="decimal"/>
      <w:lvlText w:val="%1.%2.%3.%4.%5.%6."/>
      <w:lvlJc w:val="left"/>
      <w:pPr>
        <w:ind w:left="5575" w:hanging="1080"/>
      </w:pPr>
      <w:rPr>
        <w:rFonts w:hint="default"/>
      </w:rPr>
    </w:lvl>
    <w:lvl w:ilvl="6">
      <w:start w:val="1"/>
      <w:numFmt w:val="decimal"/>
      <w:lvlText w:val="%1.%2.%3.%4.%5.%6.%7."/>
      <w:lvlJc w:val="left"/>
      <w:pPr>
        <w:ind w:left="6834" w:hanging="1440"/>
      </w:pPr>
      <w:rPr>
        <w:rFonts w:hint="default"/>
      </w:rPr>
    </w:lvl>
    <w:lvl w:ilvl="7">
      <w:start w:val="1"/>
      <w:numFmt w:val="decimal"/>
      <w:lvlText w:val="%1.%2.%3.%4.%5.%6.%7.%8."/>
      <w:lvlJc w:val="left"/>
      <w:pPr>
        <w:ind w:left="7733" w:hanging="1440"/>
      </w:pPr>
      <w:rPr>
        <w:rFonts w:hint="default"/>
      </w:rPr>
    </w:lvl>
    <w:lvl w:ilvl="8">
      <w:start w:val="1"/>
      <w:numFmt w:val="decimal"/>
      <w:lvlText w:val="%1.%2.%3.%4.%5.%6.%7.%8.%9."/>
      <w:lvlJc w:val="left"/>
      <w:pPr>
        <w:ind w:left="8992" w:hanging="1800"/>
      </w:pPr>
      <w:rPr>
        <w:rFonts w:hint="default"/>
      </w:rPr>
    </w:lvl>
  </w:abstractNum>
  <w:abstractNum w:abstractNumId="4">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EFC0408"/>
    <w:multiLevelType w:val="hybridMultilevel"/>
    <w:tmpl w:val="11DA5088"/>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051390E"/>
    <w:multiLevelType w:val="hybridMultilevel"/>
    <w:tmpl w:val="57C0C8E4"/>
    <w:lvl w:ilvl="0" w:tplc="436E479A">
      <w:start w:val="1"/>
      <w:numFmt w:val="upperRoman"/>
      <w:lvlText w:val="%1."/>
      <w:lvlJc w:val="left"/>
      <w:pPr>
        <w:ind w:left="1080" w:hanging="720"/>
      </w:pPr>
      <w:rPr>
        <w:rFonts w:hint="default"/>
      </w:rPr>
    </w:lvl>
    <w:lvl w:ilvl="1" w:tplc="5CBC360A">
      <w:start w:val="1"/>
      <w:numFmt w:val="decimal"/>
      <w:lvlText w:val="%2)"/>
      <w:lvlJc w:val="left"/>
      <w:pPr>
        <w:ind w:left="2175" w:hanging="109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F6B13"/>
    <w:multiLevelType w:val="hybridMultilevel"/>
    <w:tmpl w:val="FDDEE62C"/>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42D485C"/>
    <w:multiLevelType w:val="hybridMultilevel"/>
    <w:tmpl w:val="A1E0BA22"/>
    <w:lvl w:ilvl="0" w:tplc="F960A2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7E01532"/>
    <w:multiLevelType w:val="hybridMultilevel"/>
    <w:tmpl w:val="A3961EB2"/>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1226BE"/>
    <w:multiLevelType w:val="hybridMultilevel"/>
    <w:tmpl w:val="7450ABF6"/>
    <w:lvl w:ilvl="0" w:tplc="1B90D9C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D5C77E7"/>
    <w:multiLevelType w:val="hybridMultilevel"/>
    <w:tmpl w:val="8B687AAE"/>
    <w:lvl w:ilvl="0" w:tplc="388A97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1E670421"/>
    <w:multiLevelType w:val="hybridMultilevel"/>
    <w:tmpl w:val="4B10FA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F5B0E61"/>
    <w:multiLevelType w:val="hybridMultilevel"/>
    <w:tmpl w:val="D9D080F4"/>
    <w:lvl w:ilvl="0" w:tplc="656A2D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0A87529"/>
    <w:multiLevelType w:val="multilevel"/>
    <w:tmpl w:val="8B06E4CC"/>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7B57BDA"/>
    <w:multiLevelType w:val="hybridMultilevel"/>
    <w:tmpl w:val="2A3EDF22"/>
    <w:lvl w:ilvl="0" w:tplc="95AC6BA8">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0061D6B"/>
    <w:multiLevelType w:val="multilevel"/>
    <w:tmpl w:val="9F82D146"/>
    <w:lvl w:ilvl="0">
      <w:start w:val="21"/>
      <w:numFmt w:val="decimal"/>
      <w:lvlText w:val="%1."/>
      <w:lvlJc w:val="left"/>
      <w:pPr>
        <w:ind w:left="480" w:hanging="480"/>
      </w:pPr>
      <w:rPr>
        <w:rFonts w:hint="default"/>
        <w:color w:val="000000"/>
      </w:rPr>
    </w:lvl>
    <w:lvl w:ilvl="1">
      <w:start w:val="1"/>
      <w:numFmt w:val="decimal"/>
      <w:lvlText w:val="%1.%2."/>
      <w:lvlJc w:val="left"/>
      <w:pPr>
        <w:ind w:left="2278" w:hanging="480"/>
      </w:pPr>
      <w:rPr>
        <w:rFonts w:hint="default"/>
        <w:color w:val="000000"/>
      </w:rPr>
    </w:lvl>
    <w:lvl w:ilvl="2">
      <w:start w:val="1"/>
      <w:numFmt w:val="decimal"/>
      <w:lvlText w:val="%1.%2.%3."/>
      <w:lvlJc w:val="left"/>
      <w:pPr>
        <w:ind w:left="4316" w:hanging="720"/>
      </w:pPr>
      <w:rPr>
        <w:rFonts w:hint="default"/>
        <w:color w:val="000000"/>
      </w:rPr>
    </w:lvl>
    <w:lvl w:ilvl="3">
      <w:start w:val="1"/>
      <w:numFmt w:val="decimal"/>
      <w:lvlText w:val="%1.%2.%3.%4."/>
      <w:lvlJc w:val="left"/>
      <w:pPr>
        <w:ind w:left="6114" w:hanging="720"/>
      </w:pPr>
      <w:rPr>
        <w:rFonts w:hint="default"/>
        <w:color w:val="000000"/>
      </w:rPr>
    </w:lvl>
    <w:lvl w:ilvl="4">
      <w:start w:val="1"/>
      <w:numFmt w:val="decimal"/>
      <w:lvlText w:val="%1.%2.%3.%4.%5."/>
      <w:lvlJc w:val="left"/>
      <w:pPr>
        <w:ind w:left="8272" w:hanging="1080"/>
      </w:pPr>
      <w:rPr>
        <w:rFonts w:hint="default"/>
        <w:color w:val="000000"/>
      </w:rPr>
    </w:lvl>
    <w:lvl w:ilvl="5">
      <w:start w:val="1"/>
      <w:numFmt w:val="decimal"/>
      <w:lvlText w:val="%1.%2.%3.%4.%5.%6."/>
      <w:lvlJc w:val="left"/>
      <w:pPr>
        <w:ind w:left="10070" w:hanging="1080"/>
      </w:pPr>
      <w:rPr>
        <w:rFonts w:hint="default"/>
        <w:color w:val="000000"/>
      </w:rPr>
    </w:lvl>
    <w:lvl w:ilvl="6">
      <w:start w:val="1"/>
      <w:numFmt w:val="decimal"/>
      <w:lvlText w:val="%1.%2.%3.%4.%5.%6.%7."/>
      <w:lvlJc w:val="left"/>
      <w:pPr>
        <w:ind w:left="12228" w:hanging="1440"/>
      </w:pPr>
      <w:rPr>
        <w:rFonts w:hint="default"/>
        <w:color w:val="000000"/>
      </w:rPr>
    </w:lvl>
    <w:lvl w:ilvl="7">
      <w:start w:val="1"/>
      <w:numFmt w:val="decimal"/>
      <w:lvlText w:val="%1.%2.%3.%4.%5.%6.%7.%8."/>
      <w:lvlJc w:val="left"/>
      <w:pPr>
        <w:ind w:left="14026" w:hanging="1440"/>
      </w:pPr>
      <w:rPr>
        <w:rFonts w:hint="default"/>
        <w:color w:val="000000"/>
      </w:rPr>
    </w:lvl>
    <w:lvl w:ilvl="8">
      <w:start w:val="1"/>
      <w:numFmt w:val="decimal"/>
      <w:lvlText w:val="%1.%2.%3.%4.%5.%6.%7.%8.%9."/>
      <w:lvlJc w:val="left"/>
      <w:pPr>
        <w:ind w:left="16184" w:hanging="1800"/>
      </w:pPr>
      <w:rPr>
        <w:rFonts w:hint="default"/>
        <w:color w:val="000000"/>
      </w:rPr>
    </w:lvl>
  </w:abstractNum>
  <w:abstractNum w:abstractNumId="17">
    <w:nsid w:val="316C3D90"/>
    <w:multiLevelType w:val="hybridMultilevel"/>
    <w:tmpl w:val="3A764CFA"/>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3BA11A6"/>
    <w:multiLevelType w:val="hybridMultilevel"/>
    <w:tmpl w:val="7688C83C"/>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4C11370"/>
    <w:multiLevelType w:val="hybridMultilevel"/>
    <w:tmpl w:val="0C382F10"/>
    <w:lvl w:ilvl="0" w:tplc="5C244A24">
      <w:start w:val="1"/>
      <w:numFmt w:val="russianLower"/>
      <w:lvlText w:val="%1)"/>
      <w:lvlJc w:val="left"/>
      <w:pPr>
        <w:ind w:left="1287" w:hanging="360"/>
      </w:pPr>
      <w:rPr>
        <w:rFonts w:hint="default"/>
      </w:rPr>
    </w:lvl>
    <w:lvl w:ilvl="1" w:tplc="30D6EA46">
      <w:start w:val="1"/>
      <w:numFmt w:val="decimal"/>
      <w:lvlText w:val="%2)"/>
      <w:lvlJc w:val="left"/>
      <w:pPr>
        <w:ind w:left="2052" w:hanging="405"/>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8803571"/>
    <w:multiLevelType w:val="hybridMultilevel"/>
    <w:tmpl w:val="2B1C6026"/>
    <w:lvl w:ilvl="0" w:tplc="1756B70E">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D965D64"/>
    <w:multiLevelType w:val="hybridMultilevel"/>
    <w:tmpl w:val="99083F52"/>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8354D97"/>
    <w:multiLevelType w:val="hybridMultilevel"/>
    <w:tmpl w:val="EB54947A"/>
    <w:lvl w:ilvl="0" w:tplc="5C244A24">
      <w:start w:val="1"/>
      <w:numFmt w:val="russianLower"/>
      <w:lvlText w:val="%1)"/>
      <w:lvlJc w:val="left"/>
      <w:pPr>
        <w:ind w:left="1287" w:hanging="360"/>
      </w:pPr>
      <w:rPr>
        <w:rFonts w:hint="default"/>
      </w:rPr>
    </w:lvl>
    <w:lvl w:ilvl="1" w:tplc="753AD46A">
      <w:start w:val="1"/>
      <w:numFmt w:val="decimal"/>
      <w:lvlText w:val="%2)"/>
      <w:lvlJc w:val="left"/>
      <w:pPr>
        <w:ind w:left="2157" w:hanging="51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AE20A7A"/>
    <w:multiLevelType w:val="hybridMultilevel"/>
    <w:tmpl w:val="169EF8EE"/>
    <w:lvl w:ilvl="0" w:tplc="98D482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E555785"/>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29735DF"/>
    <w:multiLevelType w:val="hybridMultilevel"/>
    <w:tmpl w:val="BD0E53D6"/>
    <w:lvl w:ilvl="0" w:tplc="C714CC1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C77F46"/>
    <w:multiLevelType w:val="hybridMultilevel"/>
    <w:tmpl w:val="A0764872"/>
    <w:lvl w:ilvl="0" w:tplc="1EC83C18">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A8F7442"/>
    <w:multiLevelType w:val="hybridMultilevel"/>
    <w:tmpl w:val="BDE8EF22"/>
    <w:lvl w:ilvl="0" w:tplc="5C244A24">
      <w:start w:val="1"/>
      <w:numFmt w:val="russianLower"/>
      <w:lvlText w:val="%1)"/>
      <w:lvlJc w:val="left"/>
      <w:pPr>
        <w:ind w:left="1287" w:hanging="360"/>
      </w:pPr>
      <w:rPr>
        <w:rFonts w:hint="default"/>
      </w:rPr>
    </w:lvl>
    <w:lvl w:ilvl="1" w:tplc="88EC3808">
      <w:start w:val="1"/>
      <w:numFmt w:val="decimal"/>
      <w:lvlText w:val="%2)"/>
      <w:lvlJc w:val="left"/>
      <w:pPr>
        <w:ind w:left="2232" w:hanging="585"/>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032385F"/>
    <w:multiLevelType w:val="multilevel"/>
    <w:tmpl w:val="08420D36"/>
    <w:lvl w:ilvl="0">
      <w:start w:val="3"/>
      <w:numFmt w:val="decimal"/>
      <w:lvlText w:val="%1."/>
      <w:lvlJc w:val="left"/>
      <w:pPr>
        <w:ind w:left="360" w:hanging="360"/>
      </w:pPr>
      <w:rPr>
        <w:rFonts w:hint="default"/>
        <w:i w:val="0"/>
      </w:rPr>
    </w:lvl>
    <w:lvl w:ilvl="1">
      <w:start w:val="1"/>
      <w:numFmt w:val="decimal"/>
      <w:lvlText w:val="%1.%2."/>
      <w:lvlJc w:val="left"/>
      <w:pPr>
        <w:ind w:left="2062" w:hanging="360"/>
      </w:pPr>
      <w:rPr>
        <w:rFonts w:hint="default"/>
        <w:i w:val="0"/>
        <w:sz w:val="28"/>
        <w:szCs w:val="28"/>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nsid w:val="618A3613"/>
    <w:multiLevelType w:val="multilevel"/>
    <w:tmpl w:val="1D640A3E"/>
    <w:lvl w:ilvl="0">
      <w:start w:val="20"/>
      <w:numFmt w:val="decimal"/>
      <w:lvlText w:val="%1."/>
      <w:lvlJc w:val="left"/>
      <w:pPr>
        <w:ind w:left="570" w:hanging="570"/>
      </w:pPr>
      <w:rPr>
        <w:rFonts w:hint="default"/>
        <w:color w:val="000000"/>
      </w:rPr>
    </w:lvl>
    <w:lvl w:ilvl="1">
      <w:start w:val="1"/>
      <w:numFmt w:val="decimal"/>
      <w:lvlText w:val="%1.%2."/>
      <w:lvlJc w:val="left"/>
      <w:pPr>
        <w:ind w:left="1429" w:hanging="720"/>
      </w:pPr>
      <w:rPr>
        <w:rFonts w:hint="default"/>
        <w:color w:val="000000"/>
        <w:sz w:val="28"/>
        <w:szCs w:val="28"/>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31">
    <w:nsid w:val="63F45319"/>
    <w:multiLevelType w:val="hybridMultilevel"/>
    <w:tmpl w:val="C9205E9E"/>
    <w:lvl w:ilvl="0" w:tplc="133AFD1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4BF4035"/>
    <w:multiLevelType w:val="hybridMultilevel"/>
    <w:tmpl w:val="39EEB354"/>
    <w:lvl w:ilvl="0" w:tplc="2E444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5111450"/>
    <w:multiLevelType w:val="hybridMultilevel"/>
    <w:tmpl w:val="25FA50A2"/>
    <w:lvl w:ilvl="0" w:tplc="3A0C69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7806BFE"/>
    <w:multiLevelType w:val="hybridMultilevel"/>
    <w:tmpl w:val="324AB964"/>
    <w:lvl w:ilvl="0" w:tplc="17D22BEE">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C4F6C40"/>
    <w:multiLevelType w:val="multilevel"/>
    <w:tmpl w:val="1E04EC84"/>
    <w:lvl w:ilvl="0">
      <w:start w:val="18"/>
      <w:numFmt w:val="decimal"/>
      <w:lvlText w:val="%1"/>
      <w:lvlJc w:val="left"/>
      <w:pPr>
        <w:ind w:left="420" w:hanging="420"/>
      </w:pPr>
      <w:rPr>
        <w:rFonts w:hint="default"/>
      </w:rPr>
    </w:lvl>
    <w:lvl w:ilvl="1">
      <w:start w:val="1"/>
      <w:numFmt w:val="decimal"/>
      <w:lvlText w:val="%1.%2"/>
      <w:lvlJc w:val="left"/>
      <w:pPr>
        <w:ind w:left="2218" w:hanging="420"/>
      </w:pPr>
      <w:rPr>
        <w:rFonts w:hint="default"/>
      </w:rPr>
    </w:lvl>
    <w:lvl w:ilvl="2">
      <w:start w:val="1"/>
      <w:numFmt w:val="decimal"/>
      <w:lvlText w:val="%1.%2.%3"/>
      <w:lvlJc w:val="left"/>
      <w:pPr>
        <w:ind w:left="4316" w:hanging="720"/>
      </w:pPr>
      <w:rPr>
        <w:rFonts w:hint="default"/>
      </w:rPr>
    </w:lvl>
    <w:lvl w:ilvl="3">
      <w:start w:val="1"/>
      <w:numFmt w:val="decimal"/>
      <w:lvlText w:val="%1.%2.%3.%4"/>
      <w:lvlJc w:val="left"/>
      <w:pPr>
        <w:ind w:left="6114" w:hanging="720"/>
      </w:pPr>
      <w:rPr>
        <w:rFonts w:hint="default"/>
      </w:rPr>
    </w:lvl>
    <w:lvl w:ilvl="4">
      <w:start w:val="1"/>
      <w:numFmt w:val="decimal"/>
      <w:lvlText w:val="%1.%2.%3.%4.%5"/>
      <w:lvlJc w:val="left"/>
      <w:pPr>
        <w:ind w:left="8272" w:hanging="1080"/>
      </w:pPr>
      <w:rPr>
        <w:rFonts w:hint="default"/>
      </w:rPr>
    </w:lvl>
    <w:lvl w:ilvl="5">
      <w:start w:val="1"/>
      <w:numFmt w:val="decimal"/>
      <w:lvlText w:val="%1.%2.%3.%4.%5.%6"/>
      <w:lvlJc w:val="left"/>
      <w:pPr>
        <w:ind w:left="10070" w:hanging="1080"/>
      </w:pPr>
      <w:rPr>
        <w:rFonts w:hint="default"/>
      </w:rPr>
    </w:lvl>
    <w:lvl w:ilvl="6">
      <w:start w:val="1"/>
      <w:numFmt w:val="decimal"/>
      <w:lvlText w:val="%1.%2.%3.%4.%5.%6.%7"/>
      <w:lvlJc w:val="left"/>
      <w:pPr>
        <w:ind w:left="12228" w:hanging="1440"/>
      </w:pPr>
      <w:rPr>
        <w:rFonts w:hint="default"/>
      </w:rPr>
    </w:lvl>
    <w:lvl w:ilvl="7">
      <w:start w:val="1"/>
      <w:numFmt w:val="decimal"/>
      <w:lvlText w:val="%1.%2.%3.%4.%5.%6.%7.%8"/>
      <w:lvlJc w:val="left"/>
      <w:pPr>
        <w:ind w:left="14026" w:hanging="1440"/>
      </w:pPr>
      <w:rPr>
        <w:rFonts w:hint="default"/>
      </w:rPr>
    </w:lvl>
    <w:lvl w:ilvl="8">
      <w:start w:val="1"/>
      <w:numFmt w:val="decimal"/>
      <w:lvlText w:val="%1.%2.%3.%4.%5.%6.%7.%8.%9"/>
      <w:lvlJc w:val="left"/>
      <w:pPr>
        <w:ind w:left="16184" w:hanging="1800"/>
      </w:pPr>
      <w:rPr>
        <w:rFonts w:hint="default"/>
      </w:rPr>
    </w:lvl>
  </w:abstractNum>
  <w:abstractNum w:abstractNumId="36">
    <w:nsid w:val="6D9D7B57"/>
    <w:multiLevelType w:val="hybridMultilevel"/>
    <w:tmpl w:val="D95652B2"/>
    <w:lvl w:ilvl="0" w:tplc="4A30869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EFE53C1"/>
    <w:multiLevelType w:val="multilevel"/>
    <w:tmpl w:val="C27495E6"/>
    <w:lvl w:ilvl="0">
      <w:start w:val="23"/>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05E2843"/>
    <w:multiLevelType w:val="hybridMultilevel"/>
    <w:tmpl w:val="9438984A"/>
    <w:lvl w:ilvl="0" w:tplc="01A8E14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09003E3"/>
    <w:multiLevelType w:val="hybridMultilevel"/>
    <w:tmpl w:val="EF624B4C"/>
    <w:lvl w:ilvl="0" w:tplc="9F5629C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2197038"/>
    <w:multiLevelType w:val="hybridMultilevel"/>
    <w:tmpl w:val="9CB07E94"/>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64A58DA"/>
    <w:multiLevelType w:val="multilevel"/>
    <w:tmpl w:val="D4AC54FC"/>
    <w:lvl w:ilvl="0">
      <w:start w:val="18"/>
      <w:numFmt w:val="decimal"/>
      <w:lvlText w:val="%1."/>
      <w:lvlJc w:val="left"/>
      <w:pPr>
        <w:ind w:left="570" w:hanging="570"/>
      </w:pPr>
      <w:rPr>
        <w:rFonts w:hint="default"/>
      </w:rPr>
    </w:lvl>
    <w:lvl w:ilvl="1">
      <w:start w:val="2"/>
      <w:numFmt w:val="decimal"/>
      <w:lvlText w:val="%1.%2."/>
      <w:lvlJc w:val="left"/>
      <w:pPr>
        <w:ind w:left="284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77B0739C"/>
    <w:multiLevelType w:val="hybridMultilevel"/>
    <w:tmpl w:val="AB50B9F6"/>
    <w:lvl w:ilvl="0" w:tplc="82BAB810">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8B04CCD"/>
    <w:multiLevelType w:val="hybridMultilevel"/>
    <w:tmpl w:val="57387AD6"/>
    <w:lvl w:ilvl="0" w:tplc="FBEE618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B084792"/>
    <w:multiLevelType w:val="hybridMultilevel"/>
    <w:tmpl w:val="357A04B2"/>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5"/>
  </w:num>
  <w:num w:numId="4">
    <w:abstractNumId w:val="14"/>
  </w:num>
  <w:num w:numId="5">
    <w:abstractNumId w:val="6"/>
  </w:num>
  <w:num w:numId="6">
    <w:abstractNumId w:val="1"/>
  </w:num>
  <w:num w:numId="7">
    <w:abstractNumId w:val="7"/>
  </w:num>
  <w:num w:numId="8">
    <w:abstractNumId w:val="29"/>
  </w:num>
  <w:num w:numId="9">
    <w:abstractNumId w:val="8"/>
  </w:num>
  <w:num w:numId="10">
    <w:abstractNumId w:val="15"/>
  </w:num>
  <w:num w:numId="11">
    <w:abstractNumId w:val="5"/>
  </w:num>
  <w:num w:numId="12">
    <w:abstractNumId w:val="9"/>
  </w:num>
  <w:num w:numId="13">
    <w:abstractNumId w:val="31"/>
  </w:num>
  <w:num w:numId="14">
    <w:abstractNumId w:val="34"/>
  </w:num>
  <w:num w:numId="15">
    <w:abstractNumId w:val="36"/>
  </w:num>
  <w:num w:numId="16">
    <w:abstractNumId w:val="11"/>
  </w:num>
  <w:num w:numId="17">
    <w:abstractNumId w:val="3"/>
  </w:num>
  <w:num w:numId="18">
    <w:abstractNumId w:val="35"/>
  </w:num>
  <w:num w:numId="19">
    <w:abstractNumId w:val="44"/>
  </w:num>
  <w:num w:numId="20">
    <w:abstractNumId w:val="18"/>
  </w:num>
  <w:num w:numId="21">
    <w:abstractNumId w:val="16"/>
  </w:num>
  <w:num w:numId="22">
    <w:abstractNumId w:val="27"/>
  </w:num>
  <w:num w:numId="23">
    <w:abstractNumId w:val="13"/>
  </w:num>
  <w:num w:numId="24">
    <w:abstractNumId w:val="17"/>
  </w:num>
  <w:num w:numId="25">
    <w:abstractNumId w:val="40"/>
  </w:num>
  <w:num w:numId="26">
    <w:abstractNumId w:val="21"/>
  </w:num>
  <w:num w:numId="27">
    <w:abstractNumId w:val="22"/>
  </w:num>
  <w:num w:numId="28">
    <w:abstractNumId w:val="42"/>
  </w:num>
  <w:num w:numId="29">
    <w:abstractNumId w:val="28"/>
  </w:num>
  <w:num w:numId="30">
    <w:abstractNumId w:val="19"/>
  </w:num>
  <w:num w:numId="31">
    <w:abstractNumId w:val="37"/>
  </w:num>
  <w:num w:numId="32">
    <w:abstractNumId w:val="2"/>
  </w:num>
  <w:num w:numId="33">
    <w:abstractNumId w:val="12"/>
  </w:num>
  <w:num w:numId="34">
    <w:abstractNumId w:val="24"/>
  </w:num>
  <w:num w:numId="35">
    <w:abstractNumId w:val="39"/>
  </w:num>
  <w:num w:numId="36">
    <w:abstractNumId w:val="33"/>
  </w:num>
  <w:num w:numId="37">
    <w:abstractNumId w:val="41"/>
  </w:num>
  <w:num w:numId="38">
    <w:abstractNumId w:val="30"/>
  </w:num>
  <w:num w:numId="39">
    <w:abstractNumId w:val="26"/>
  </w:num>
  <w:num w:numId="40">
    <w:abstractNumId w:val="32"/>
  </w:num>
  <w:num w:numId="41">
    <w:abstractNumId w:val="10"/>
  </w:num>
  <w:num w:numId="42">
    <w:abstractNumId w:val="23"/>
  </w:num>
  <w:num w:numId="43">
    <w:abstractNumId w:val="20"/>
  </w:num>
  <w:num w:numId="44">
    <w:abstractNumId w:val="43"/>
  </w:num>
  <w:num w:numId="45">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1C4105-0023-487C-AF25-69E653B2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paragraph" w:customStyle="1" w:styleId="afe">
    <w:name w:val="Нормальный (таблица)"/>
    <w:basedOn w:val="a"/>
    <w:next w:val="a"/>
    <w:uiPriority w:val="99"/>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ff">
    <w:name w:val="Прижатый влево"/>
    <w:basedOn w:val="a"/>
    <w:next w:val="a"/>
    <w:uiPriority w:val="99"/>
    <w:pPr>
      <w:widowControl w:val="0"/>
      <w:autoSpaceDE w:val="0"/>
      <w:autoSpaceDN w:val="0"/>
      <w:adjustRightInd w:val="0"/>
      <w:spacing w:after="0" w:line="240" w:lineRule="auto"/>
    </w:pPr>
    <w:rPr>
      <w:rFonts w:ascii="Times New Roman CYR" w:hAnsi="Times New Roman CYR" w:cs="Times New Roman CYR"/>
      <w:sz w:val="24"/>
      <w:szCs w:val="24"/>
    </w:rPr>
  </w:style>
  <w:style w:type="paragraph" w:customStyle="1" w:styleId="s37">
    <w:name w:val="s_37"/>
    <w:basedOn w:val="a"/>
    <w:pPr>
      <w:spacing w:before="100" w:beforeAutospacing="1" w:after="100" w:afterAutospacing="1" w:line="240" w:lineRule="auto"/>
    </w:pPr>
    <w:rPr>
      <w:rFonts w:ascii="Times New Roman" w:hAnsi="Times New Roman" w:cs="Times New Roman"/>
      <w:sz w:val="24"/>
      <w:szCs w:val="24"/>
    </w:rPr>
  </w:style>
  <w:style w:type="character" w:customStyle="1" w:styleId="aff0">
    <w:name w:val="Цветовое выделение"/>
    <w:uiPriority w:val="99"/>
    <w:rPr>
      <w:b/>
      <w:bCs w:val="0"/>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04869">
      <w:bodyDiv w:val="1"/>
      <w:marLeft w:val="0"/>
      <w:marRight w:val="0"/>
      <w:marTop w:val="0"/>
      <w:marBottom w:val="0"/>
      <w:divBdr>
        <w:top w:val="none" w:sz="0" w:space="0" w:color="auto"/>
        <w:left w:val="none" w:sz="0" w:space="0" w:color="auto"/>
        <w:bottom w:val="none" w:sz="0" w:space="0" w:color="auto"/>
        <w:right w:val="none" w:sz="0" w:space="0" w:color="auto"/>
      </w:divBdr>
    </w:div>
    <w:div w:id="350881487">
      <w:bodyDiv w:val="1"/>
      <w:marLeft w:val="0"/>
      <w:marRight w:val="0"/>
      <w:marTop w:val="0"/>
      <w:marBottom w:val="0"/>
      <w:divBdr>
        <w:top w:val="none" w:sz="0" w:space="0" w:color="auto"/>
        <w:left w:val="none" w:sz="0" w:space="0" w:color="auto"/>
        <w:bottom w:val="none" w:sz="0" w:space="0" w:color="auto"/>
        <w:right w:val="none" w:sz="0" w:space="0" w:color="auto"/>
      </w:divBdr>
    </w:div>
    <w:div w:id="492111095">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07110748">
      <w:bodyDiv w:val="1"/>
      <w:marLeft w:val="0"/>
      <w:marRight w:val="0"/>
      <w:marTop w:val="0"/>
      <w:marBottom w:val="0"/>
      <w:divBdr>
        <w:top w:val="none" w:sz="0" w:space="0" w:color="auto"/>
        <w:left w:val="none" w:sz="0" w:space="0" w:color="auto"/>
        <w:bottom w:val="none" w:sz="0" w:space="0" w:color="auto"/>
        <w:right w:val="none" w:sz="0" w:space="0" w:color="auto"/>
      </w:divBdr>
    </w:div>
    <w:div w:id="92014167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995911309">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20347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yamal.ru"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c.yanao.ru" TargetMode="Externa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B37AC-DB29-463F-87C1-9A5B8905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37</Pages>
  <Words>14051</Words>
  <Characters>80097</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52</cp:revision>
  <cp:lastPrinted>2020-12-15T06:26:00Z</cp:lastPrinted>
  <dcterms:created xsi:type="dcterms:W3CDTF">2019-12-09T13:09:00Z</dcterms:created>
  <dcterms:modified xsi:type="dcterms:W3CDTF">2020-12-15T06:26:00Z</dcterms:modified>
</cp:coreProperties>
</file>