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  <w:bookmarkStart w:id="0" w:name="_GoBack"/>
      <w:bookmarkEnd w:id="0"/>
    </w:p>
    <w:p>
      <w:pPr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распоряжением </w:t>
      </w:r>
    </w:p>
    <w:p>
      <w:pPr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Администрации Тазовского района </w:t>
      </w:r>
    </w:p>
    <w:p>
      <w:pPr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29 декабря 2020 года № 77-р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ПОРЯДОК</w:t>
      </w: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осуществления Администрацией Тазовского</w:t>
      </w:r>
    </w:p>
    <w:p>
      <w:pPr>
        <w:jc w:val="center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района бюджетных полномочий администратора доходов бюджета Тазовского района</w:t>
      </w:r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jc w:val="center"/>
        <w:rPr>
          <w:rFonts w:ascii="PT Astra Serif" w:hAnsi="PT Astra Serif"/>
          <w:bCs/>
          <w:sz w:val="28"/>
          <w:szCs w:val="28"/>
        </w:rPr>
      </w:pPr>
    </w:p>
    <w:p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Настоящий Порядок разработан в соответствии со статьей 160.1 Бюджетного кодекса Российской Федерации, постановлением Администрации Тазовского района от 18 декабря 2020 года № 109-п «Об утверждении                       Порядка осуществления органами местного самоуправления Тазовского района, отраслевыми (функциональными) и территориальными органами Администрации Тазовского района бюджетных полномочий главных администраторов доходов бюджета Тазовского района», приказом Департамента финансов Администрации Тазовского района от 01 декабря                       2020 года № 139 «Об утверждении перечня кодов подвидов доходов бюджета Тазовского района» в целях осуществления бюджетных полномочий администратора доходов бюджета Тазовского района (далее – местный бюджет). </w:t>
      </w:r>
    </w:p>
    <w:p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Администрация Тазовского района в отношении закрепленных за ней источников доходов местного бюджета осуществляет следующие бюджетные полномочия администратора доходов местного бюджета:</w:t>
      </w:r>
    </w:p>
    <w:p>
      <w:pPr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начисление, учёт и контроль за правильностью исчисления, полнотой и своевременностью осуществления платежей в местный бюджет, пеней и штрафов по ним;</w:t>
      </w:r>
    </w:p>
    <w:p>
      <w:pPr>
        <w:numPr>
          <w:ilvl w:val="1"/>
          <w:numId w:val="1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взыскание задолженности по платежам в местный бюджет, пеней                     и штрафов;</w:t>
      </w:r>
    </w:p>
    <w:p>
      <w:pPr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принятие решения о возврате излишне уплаченных (взысканных) платежей в местный бюджет, пеней и штрафов, а также процентов                                    за несвоевременное осуществление такого возврата и процентов, начисленных на излишне взысканные суммы по форме согласно приложению № 1                                  к настоящему Порядку.</w:t>
      </w:r>
    </w:p>
    <w:p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Принятие решения о возврате платежей осуществляется на основании заявления плательщика о возврате платежей в местный бюджет с приложением платежных документов.  </w:t>
      </w:r>
    </w:p>
    <w:p>
      <w:pPr>
        <w:autoSpaceDE w:val="0"/>
        <w:autoSpaceDN w:val="0"/>
        <w:adjustRightInd w:val="0"/>
        <w:ind w:firstLine="708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принятия решения о возврате платежей в местный                               бюджет Администрация Тазовского района представляет в Управление </w:t>
      </w:r>
      <w:r>
        <w:rPr>
          <w:rFonts w:ascii="PT Astra Serif" w:hAnsi="PT Astra Serif"/>
          <w:sz w:val="28"/>
          <w:szCs w:val="28"/>
        </w:rPr>
        <w:lastRenderedPageBreak/>
        <w:t xml:space="preserve">Федерального казначейства по Ямало-Ненецкому автономному округу                       (далее - УФК по ЯНАО) заявку на возврат по форме согласно приложению                            № 18 (код по ведомственному классификатору форм документов                                  (далее - код формы по КФД) 0531803), распоряжения о совершении казначейских платежей (возврат) по форме согласно приложению № 2,                             к Порядку казначейского обслуживания, утвержденного приказом Казначейства России от 14 мая 2020 года № 21н, для осуществления возврата платежей в </w:t>
      </w:r>
      <w:hyperlink r:id="rId8" w:history="1">
        <w:r>
          <w:rPr>
            <w:rFonts w:ascii="PT Astra Serif" w:hAnsi="PT Astra Serif"/>
            <w:sz w:val="28"/>
            <w:szCs w:val="28"/>
          </w:rPr>
          <w:t>порядке</w:t>
        </w:r>
      </w:hyperlink>
      <w:r>
        <w:rPr>
          <w:rFonts w:ascii="PT Astra Serif" w:hAnsi="PT Astra Serif"/>
          <w:sz w:val="28"/>
          <w:szCs w:val="28"/>
        </w:rPr>
        <w:t xml:space="preserve">, установленном приказом Министерства финансов Российской Федерации от 13 апреля 2020 года № 66н «Об утверждении Порядка учета Федеральным казначейством поступлений в бюджетную систему Российской Федерации и их распределение между бюджетами бюджетной системы Российской Федерации» (далее – приказ Минфина России от 13 апреля 2020 года № 66н). </w:t>
      </w:r>
    </w:p>
    <w:p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регистрации возвратов излишне (ошибочно) перечисленных сумм ведется журнал учета возвратов излишне (ошибочно) перечисленных сумм                            в местный бюджет по форме согласно приложению № 2 к настоящему Порядку;</w:t>
      </w:r>
    </w:p>
    <w:p>
      <w:pPr>
        <w:numPr>
          <w:ilvl w:val="1"/>
          <w:numId w:val="12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принятие решения о зачете (уточнении) платежей в местный бюджет и представление соответствующего уведомления в УФК по ЯНАО                         по форме согласно приложению № 18 (код формы по КФД 0531809), распоряжений о совершении казначейских платежей (уточнение) по форме согласно приложению № 24, к Порядку казначейского обслуживания, утвержденного приказом Казначейства России от 14 мая 2020 года № 21н,                        для осуществления</w:t>
      </w:r>
      <w:r>
        <w:rPr>
          <w:rFonts w:ascii="PT Astra Serif" w:eastAsia="Calibri" w:hAnsi="PT Astra Serif" w:cs="PT Astra Serif"/>
          <w:sz w:val="28"/>
          <w:szCs w:val="28"/>
        </w:rPr>
        <w:t xml:space="preserve"> уточнении вида и принадлежности платежа в порядке, установленном приказом Минфина России от 13 апреля 2020 года № 66н;</w:t>
      </w:r>
    </w:p>
    <w:p>
      <w:pPr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 xml:space="preserve">представление информации, необходимой для уплаты денежных средств физическими и юридическими лицами за муниципальные услуги,                        а также иных платежей, являющихся источниками формирования                           доходов местного бюджета, в Государственную информационную систему                     о государственных и муниципальных платежах в соответствии с порядком, установленным Федеральным </w:t>
      </w:r>
      <w:hyperlink r:id="rId9" w:history="1">
        <w:r>
          <w:rPr>
            <w:rFonts w:ascii="PT Astra Serif" w:eastAsia="Calibri" w:hAnsi="PT Astra Serif"/>
            <w:sz w:val="28"/>
            <w:szCs w:val="28"/>
            <w:lang w:eastAsia="en-US"/>
          </w:rPr>
          <w:t>законом</w:t>
        </w:r>
      </w:hyperlink>
      <w:r>
        <w:rPr>
          <w:rFonts w:ascii="PT Astra Serif" w:eastAsia="Calibri" w:hAnsi="PT Astra Serif"/>
          <w:sz w:val="28"/>
          <w:szCs w:val="28"/>
          <w:lang w:eastAsia="en-US"/>
        </w:rPr>
        <w:t xml:space="preserve"> от 27 июля 2010 года № 210-ФЗ                               «Об организации предоставления государственных и муниципальных услуг»;</w:t>
      </w:r>
    </w:p>
    <w:p>
      <w:pPr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принятие решения о признании безнадежной к взысканию задолженности по платежам в местный бюджет осуществляется в порядке, утвержденном нормативным правовым актом Администрации Тазовского района;</w:t>
      </w:r>
    </w:p>
    <w:p>
      <w:pPr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заполнение (составление) и отражение в бюджетном учете первичных документов по администрируемым доходам бюджетов бюджетной системы осуществляется в соответствии с приказами Министерства                      финансов Российской Федерации от 01 декабря 2010 года № 157н                                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от 06 декабря 2010 года                         </w:t>
      </w:r>
      <w:r>
        <w:rPr>
          <w:rFonts w:ascii="PT Astra Serif" w:hAnsi="PT Astra Serif"/>
          <w:sz w:val="28"/>
          <w:szCs w:val="28"/>
        </w:rPr>
        <w:lastRenderedPageBreak/>
        <w:t>№ 162н «Об утверждении Плана счетов бюджетного учета и Инструкции                        по его применению» и постановлением Администрации Тазовского района                                «Об утверждении учетной политики Администрации Тазовского района»;</w:t>
      </w:r>
    </w:p>
    <w:p>
      <w:pPr>
        <w:numPr>
          <w:ilvl w:val="1"/>
          <w:numId w:val="1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 w:cs="PT Astra Serif"/>
          <w:sz w:val="28"/>
          <w:szCs w:val="28"/>
        </w:rPr>
        <w:t xml:space="preserve">сверка отчетных данных </w:t>
      </w:r>
      <w:r>
        <w:rPr>
          <w:rFonts w:ascii="PT Astra Serif" w:hAnsi="PT Astra Serif"/>
          <w:sz w:val="28"/>
          <w:szCs w:val="28"/>
        </w:rPr>
        <w:t xml:space="preserve">УФК по ЯНАО </w:t>
      </w:r>
      <w:r>
        <w:rPr>
          <w:rFonts w:ascii="PT Astra Serif" w:eastAsia="Calibri" w:hAnsi="PT Astra Serif" w:cs="PT Astra Serif"/>
          <w:sz w:val="28"/>
          <w:szCs w:val="28"/>
        </w:rPr>
        <w:t xml:space="preserve">с отчетными данными администратора доходов местного бюджета в порядке, установленном </w:t>
      </w:r>
      <w:r>
        <w:rPr>
          <w:rFonts w:ascii="PT Astra Serif" w:hAnsi="PT Astra Serif"/>
          <w:sz w:val="28"/>
          <w:szCs w:val="28"/>
        </w:rPr>
        <w:t>приказом Минфина России № 66н</w:t>
      </w:r>
      <w:r>
        <w:rPr>
          <w:rFonts w:ascii="PT Astra Serif" w:eastAsia="Calibri" w:hAnsi="PT Astra Serif" w:cs="PT Astra Serif"/>
          <w:sz w:val="28"/>
          <w:szCs w:val="28"/>
        </w:rPr>
        <w:t>.</w:t>
      </w:r>
    </w:p>
    <w:p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выявления расхождений между отчетными данными УФК                      по ЯНАО и администратора доходов устанавливаются причины указанного расхождения и принимаются меры по их устранению;</w:t>
      </w:r>
    </w:p>
    <w:p>
      <w:pPr>
        <w:numPr>
          <w:ilvl w:val="1"/>
          <w:numId w:val="1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уточнение невыясненных поступлений осуществляется в порядке, установленном приказом Минфина России от 13 апреля 2020 года № 66н,                       на основании уведомления об уточнении вида и принадлежности платежа                       по форме согласно приложению № 18 (код формы по КФД 0531809), распоряжений о совершении казначейских платежей (уточнение) по форме согласно приложению № 24 к Порядку казначейского обслуживания, утвержденного приказом Казначейства России от 14 мая 2020 года № 21н.                      Для регистрации уведомлений об уточнении вида и принадлежности платежа, распоряжений о совершении казначейских платежей (уточнение) ведется журнал учета уведомлений об уточнении вида и принадлежности платежа                        по форме согласно приложению № 3 к настоящему Порядку;</w:t>
      </w:r>
    </w:p>
    <w:p>
      <w:pPr>
        <w:numPr>
          <w:ilvl w:val="1"/>
          <w:numId w:val="1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принудительное взыскание с плательщика платежей в местный бюджет, пеней и штрафов по ним через судебные органы или через                        судебных приставов-исполнителей в случаях и порядке, предусмотренных законодательством Российской Федерации доведения до сведения суда (мирового судьи) и (или) судебного пристава-исполнителя информации, необходимой для заполнения платежного поручения в порядке, установленном законодательством Российской Федерации;</w:t>
      </w:r>
    </w:p>
    <w:p>
      <w:pPr>
        <w:numPr>
          <w:ilvl w:val="1"/>
          <w:numId w:val="1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доведение до плательщиков сведений о реквизитах счета                               и информации, необходимой для заполнения расчетных документов                                  на перечисление администрируемых доходов в местный бюджет; </w:t>
      </w:r>
    </w:p>
    <w:p>
      <w:pPr>
        <w:numPr>
          <w:ilvl w:val="1"/>
          <w:numId w:val="12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иные бюджетные полномочия, установленные Бюджетным кодексом Российской Федерации и принятыми в соответствии с ним нормативными правовыми актами, регулирующими бюджетные правоотношения.  </w:t>
      </w:r>
    </w:p>
    <w:sectPr>
      <w:headerReference w:type="default" r:id="rId10"/>
      <w:footerReference w:type="defaul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  <w:tabs>
        <w:tab w:val="clear" w:pos="4677"/>
        <w:tab w:val="clear" w:pos="9355"/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  <w:tabs>
        <w:tab w:val="clear" w:pos="4677"/>
        <w:tab w:val="clear" w:pos="9355"/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jc w:val="center"/>
      <w:rPr>
        <w:rFonts w:ascii="PT Astra Serif" w:hAnsi="PT Astra Serif"/>
      </w:rPr>
    </w:pPr>
    <w:r>
      <w:rPr>
        <w:rFonts w:ascii="PT Astra Serif" w:hAnsi="PT Astra Serif"/>
      </w:rPr>
      <w:fldChar w:fldCharType="begin"/>
    </w:r>
    <w:r>
      <w:rPr>
        <w:rFonts w:ascii="PT Astra Serif" w:hAnsi="PT Astra Serif"/>
      </w:rPr>
      <w:instrText>PAGE   \* MERGEFORMAT</w:instrText>
    </w:r>
    <w:r>
      <w:rPr>
        <w:rFonts w:ascii="PT Astra Serif" w:hAnsi="PT Astra Serif"/>
      </w:rPr>
      <w:fldChar w:fldCharType="separate"/>
    </w:r>
    <w:r>
      <w:rPr>
        <w:rFonts w:ascii="PT Astra Serif" w:hAnsi="PT Astra Serif"/>
        <w:noProof/>
      </w:rPr>
      <w:t>3</w:t>
    </w:r>
    <w:r>
      <w:rPr>
        <w:rFonts w:ascii="PT Astra Serif" w:hAnsi="PT Astra Serif"/>
      </w:rPr>
      <w:fldChar w:fldCharType="end"/>
    </w:r>
  </w:p>
  <w:p>
    <w:pPr>
      <w:pStyle w:val="a7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31F5B"/>
    <w:multiLevelType w:val="hybridMultilevel"/>
    <w:tmpl w:val="E97E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85337"/>
    <w:multiLevelType w:val="hybridMultilevel"/>
    <w:tmpl w:val="26FAB77E"/>
    <w:lvl w:ilvl="0" w:tplc="D65AD6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D7E6D"/>
    <w:multiLevelType w:val="hybridMultilevel"/>
    <w:tmpl w:val="C85C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D2D7E"/>
    <w:multiLevelType w:val="multilevel"/>
    <w:tmpl w:val="66D4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BE2A26"/>
    <w:multiLevelType w:val="hybridMultilevel"/>
    <w:tmpl w:val="17F2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93F8D"/>
    <w:multiLevelType w:val="hybridMultilevel"/>
    <w:tmpl w:val="AE70A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A2420"/>
    <w:multiLevelType w:val="hybridMultilevel"/>
    <w:tmpl w:val="AE989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B5C7B"/>
    <w:multiLevelType w:val="hybridMultilevel"/>
    <w:tmpl w:val="9E665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E7B04"/>
    <w:multiLevelType w:val="hybridMultilevel"/>
    <w:tmpl w:val="58729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31814"/>
    <w:multiLevelType w:val="hybridMultilevel"/>
    <w:tmpl w:val="1FF8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B5844"/>
    <w:multiLevelType w:val="hybridMultilevel"/>
    <w:tmpl w:val="E8E4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431ED"/>
    <w:multiLevelType w:val="hybridMultilevel"/>
    <w:tmpl w:val="25442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F0D6F23"/>
    <w:multiLevelType w:val="hybridMultilevel"/>
    <w:tmpl w:val="3BF48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8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E6AD598-4023-40F7-9456-25201AD8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pacing w:val="4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Times New Roman" w:hAnsi="Times New Roman" w:cs="Times New Roman"/>
      <w:b/>
      <w:bCs/>
      <w:spacing w:val="40"/>
      <w:sz w:val="20"/>
      <w:szCs w:val="20"/>
      <w:lang w:eastAsia="ru-RU"/>
    </w:rPr>
  </w:style>
  <w:style w:type="character" w:styleId="a3">
    <w:name w:val="Hyperlink"/>
    <w:uiPriority w:val="99"/>
    <w:rPr>
      <w:color w:val="auto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99"/>
    <w:lock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szCs w:val="2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39D7711285B45ED9666D136AB32C37138829FADB03D08AAB5E3D51960A9B25C70A83DF857AED67XAT6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8F27169CA2DEF8292165C8C60D04A528640EBCF3473DC8B248929400r713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1063-3EF2-470A-9397-024C232C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ТАЗОВСКОГО  РАЙОНА</vt:lpstr>
    </vt:vector>
  </TitlesOfParts>
  <Company>505.ru</Company>
  <LinksUpToDate>false</LinksUpToDate>
  <CharactersWithSpaces>7768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ТАЗОВСКОГО  РАЙОНА</dc:title>
  <dc:subject/>
  <dc:creator>Ольга Феофелактова</dc:creator>
  <cp:keywords/>
  <dc:description/>
  <cp:lastModifiedBy>Фадеева Алена Михайловна</cp:lastModifiedBy>
  <cp:revision>207</cp:revision>
  <cp:lastPrinted>2020-12-30T06:23:00Z</cp:lastPrinted>
  <dcterms:created xsi:type="dcterms:W3CDTF">2012-12-11T10:03:00Z</dcterms:created>
  <dcterms:modified xsi:type="dcterms:W3CDTF">2020-12-30T06:23:00Z</dcterms:modified>
</cp:coreProperties>
</file>