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4820" w:firstLine="0"/>
        <w:rPr>
          <w:rFonts w:ascii="PT Astra Serif" w:hAnsi="PT Astra Serif"/>
        </w:rPr>
      </w:pPr>
      <w:r>
        <w:rPr>
          <w:rFonts w:ascii="PT Astra Serif" w:hAnsi="PT Astra Serif"/>
        </w:rPr>
        <w:t>УТВЕРЖДЕН</w:t>
      </w:r>
    </w:p>
    <w:p>
      <w:pPr>
        <w:pStyle w:val="ad"/>
        <w:spacing w:line="240" w:lineRule="auto"/>
        <w:ind w:left="4820" w:firstLine="0"/>
        <w:rPr>
          <w:rFonts w:ascii="PT Astra Serif" w:hAnsi="PT Astra Serif"/>
        </w:rPr>
      </w:pPr>
      <w:r>
        <w:rPr>
          <w:rFonts w:ascii="PT Astra Serif" w:hAnsi="PT Astra Serif"/>
        </w:rPr>
        <w:t xml:space="preserve">постановлением </w:t>
      </w:r>
    </w:p>
    <w:p>
      <w:pPr>
        <w:pStyle w:val="ad"/>
        <w:spacing w:line="240" w:lineRule="auto"/>
        <w:ind w:left="4820" w:firstLine="0"/>
        <w:rPr>
          <w:rFonts w:ascii="PT Astra Serif" w:hAnsi="PT Astra Serif"/>
        </w:rPr>
      </w:pPr>
      <w:r>
        <w:rPr>
          <w:rFonts w:ascii="PT Astra Serif" w:hAnsi="PT Astra Serif"/>
        </w:rPr>
        <w:t>Администрации Тазовского района</w:t>
      </w:r>
    </w:p>
    <w:p>
      <w:pPr>
        <w:pStyle w:val="ad"/>
        <w:spacing w:line="240" w:lineRule="auto"/>
        <w:ind w:left="4820" w:firstLine="0"/>
        <w:rPr>
          <w:rFonts w:ascii="PT Astra Serif" w:hAnsi="PT Astra Serif"/>
        </w:rPr>
      </w:pPr>
      <w:r>
        <w:rPr>
          <w:rFonts w:ascii="PT Astra Serif" w:hAnsi="PT Astra Serif"/>
        </w:rPr>
        <w:t xml:space="preserve">от </w:t>
      </w:r>
      <w:bookmarkStart w:id="0" w:name="_GoBack"/>
      <w:r>
        <w:rPr>
          <w:rFonts w:ascii="PT Astra Serif" w:hAnsi="PT Astra Serif"/>
        </w:rPr>
        <w:t>04 декабря 2020 года</w:t>
      </w:r>
      <w:bookmarkEnd w:id="0"/>
      <w:r>
        <w:rPr>
          <w:rFonts w:ascii="PT Astra Serif" w:hAnsi="PT Astra Serif"/>
        </w:rPr>
        <w:t xml:space="preserve"> № 68-п</w:t>
      </w:r>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r>
        <w:rPr>
          <w:rFonts w:ascii="PT Astra Serif" w:hAnsi="PT Astra Serif"/>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«Направление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уведомления о соответствии указанных в </w:t>
      </w:r>
      <w:hyperlink r:id="rId8" w:history="1">
        <w:r>
          <w:rPr>
            <w:rFonts w:ascii="PT Astra Serif" w:hAnsi="PT Astra Serif" w:cs="Times New Roman"/>
            <w:b/>
            <w:bCs/>
            <w:sz w:val="28"/>
            <w:szCs w:val="28"/>
          </w:rPr>
          <w:t>уведомлении</w:t>
        </w:r>
      </w:hyperlink>
      <w:r>
        <w:rPr>
          <w:rFonts w:ascii="PT Astra Serif" w:hAnsi="PT Astra Serif" w:cs="Times New Roman"/>
          <w:b/>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 допустимости размещения объекта индивидуального жилищного строительства или садового дома на земельном участке, уведомления</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о несоответствии указанных в </w:t>
      </w:r>
      <w:hyperlink r:id="rId9" w:history="1">
        <w:r>
          <w:rPr>
            <w:rFonts w:ascii="PT Astra Serif" w:hAnsi="PT Astra Serif" w:cs="Times New Roman"/>
            <w:b/>
            <w:bCs/>
            <w:sz w:val="28"/>
            <w:szCs w:val="28"/>
          </w:rPr>
          <w:t>уведомлении</w:t>
        </w:r>
      </w:hyperlink>
      <w:r>
        <w:rPr>
          <w:rFonts w:ascii="PT Astra Serif" w:hAnsi="PT Astra Serif" w:cs="Times New Roman"/>
          <w:b/>
          <w:bCs/>
          <w:sz w:val="28"/>
          <w:szCs w:val="28"/>
        </w:rPr>
        <w:t xml:space="preserve"> о планируемых строительстве или реконструкции объекта индивидуального жилищного строительства</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или садового дома параметров объекта индивидуального жилищного строительства или садового дома установленным параметрам</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 (или) недопустимости размещения объекта индивидуального</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жилищного строительства или садового дома на земельном участке </w:t>
      </w:r>
    </w:p>
    <w:p>
      <w:pPr>
        <w:autoSpaceDE w:val="0"/>
        <w:autoSpaceDN w:val="0"/>
        <w:adjustRightInd w:val="0"/>
        <w:spacing w:after="0" w:line="240" w:lineRule="auto"/>
        <w:jc w:val="center"/>
        <w:outlineLvl w:val="1"/>
        <w:rPr>
          <w:rFonts w:ascii="PT Astra Serif" w:hAnsi="PT Astra Serif"/>
          <w:b/>
          <w:bCs/>
          <w:sz w:val="28"/>
          <w:szCs w:val="28"/>
        </w:rPr>
      </w:pPr>
      <w:r>
        <w:rPr>
          <w:rFonts w:ascii="PT Astra Serif" w:hAnsi="PT Astra Serif"/>
          <w:b/>
          <w:bCs/>
          <w:sz w:val="28"/>
          <w:szCs w:val="28"/>
        </w:rPr>
        <w:t xml:space="preserve">на территории муниципального округа Тазовский район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b/>
          <w:bCs/>
          <w:sz w:val="28"/>
          <w:szCs w:val="28"/>
        </w:rPr>
        <w:t>Ямало-Ненецкого автономного округа</w:t>
      </w:r>
      <w:r>
        <w:rPr>
          <w:rFonts w:ascii="PT Astra Serif" w:hAnsi="PT Astra Serif" w:cs="Times New Roman"/>
          <w:b/>
          <w:bCs/>
          <w:sz w:val="28"/>
          <w:szCs w:val="28"/>
        </w:rPr>
        <w:t>»</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cs="Times New Roman"/>
          <w:bCs/>
          <w:sz w:val="28"/>
          <w:szCs w:val="28"/>
        </w:rPr>
        <w:t xml:space="preserve">Направление уведомления о соответствии указанных в </w:t>
      </w:r>
      <w:hyperlink r:id="rId10"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1"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Pr>
          <w:rFonts w:ascii="PT Astra Serif" w:hAnsi="PT Astra Serif"/>
          <w:bCs/>
          <w:sz w:val="28"/>
          <w:szCs w:val="28"/>
        </w:rPr>
        <w:t>на территории муниципального округа Тазовский район Ямало-Ненецкого автономного округа</w:t>
      </w:r>
      <w:r>
        <w:rPr>
          <w:rFonts w:ascii="PT Astra Serif" w:hAnsi="PT Astra Serif" w:cs="Times New Roman"/>
          <w:bCs/>
          <w:sz w:val="28"/>
          <w:szCs w:val="28"/>
        </w:rPr>
        <w:t>»</w:t>
      </w:r>
      <w:r>
        <w:rPr>
          <w:rFonts w:ascii="PT Astra Serif" w:hAnsi="PT Astra Serif" w:cs="Times New Roman"/>
          <w:sz w:val="28"/>
          <w:szCs w:val="28"/>
        </w:rPr>
        <w:t xml:space="preserve"> (далее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12"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w:t>
      </w:r>
      <w:r>
        <w:rPr>
          <w:rFonts w:ascii="PT Astra Serif" w:hAnsi="PT Astra Serif" w:cs="Times New Roman"/>
          <w:sz w:val="28"/>
          <w:szCs w:val="28"/>
        </w:rPr>
        <w:lastRenderedPageBreak/>
        <w:t xml:space="preserve">предоставления </w:t>
      </w:r>
      <w:r>
        <w:rPr>
          <w:rFonts w:ascii="PT Astra Serif" w:hAnsi="PT Astra Serif" w:cs="Times New Roman"/>
          <w:spacing w:val="-20"/>
          <w:sz w:val="28"/>
          <w:szCs w:val="28"/>
        </w:rPr>
        <w:t>государственных и муниципальных</w:t>
      </w:r>
      <w:r>
        <w:rPr>
          <w:rFonts w:ascii="PT Astra Serif" w:hAnsi="PT Astra Serif" w:cs="Times New Roman"/>
          <w:sz w:val="28"/>
          <w:szCs w:val="28"/>
        </w:rPr>
        <w:t xml:space="preserve"> услуг» (далее – Федеральный закон № 210-ФЗ).</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Заявителями на предоставление муниципальной услуги являются физические (в том числе индивидуальные предприниматели) или юридические лица, являющиеся застройщиками, определяемыми в соответствии                                       с пунктом 16 статьи 1 Градостроительного кодекса Российской Федерации                               (далее – заявители, ГрК РФ), </w:t>
      </w:r>
      <w:r>
        <w:rPr>
          <w:rFonts w:ascii="PT Astra Serif" w:hAnsi="PT Astra Serif" w:cs="PT Astra Serif"/>
          <w:sz w:val="28"/>
          <w:szCs w:val="28"/>
        </w:rPr>
        <w:t>обеспечивающие строительство, реконструкцию объекта индивидуального жилищного строительства или садового дома                            на территории муниципального округа Тазовский район Ямало-Ненецкого автономного округа.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28"/>
        </w:numPr>
        <w:tabs>
          <w:tab w:val="left" w:pos="993"/>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отдела архитектуры и градостроительства Администрации Тазовского района, предоставляющего муниципальную услугу «</w:t>
      </w:r>
      <w:r>
        <w:rPr>
          <w:rFonts w:ascii="PT Astra Serif" w:hAnsi="PT Astra Serif"/>
          <w:bCs/>
        </w:rPr>
        <w:t xml:space="preserve">Направление уведомления                             о соответствии указанных в </w:t>
      </w:r>
      <w:hyperlink r:id="rId13" w:history="1">
        <w:r>
          <w:rPr>
            <w:rFonts w:ascii="PT Astra Serif" w:hAnsi="PT Astra Serif"/>
            <w:bCs/>
          </w:rPr>
          <w:t>уведомлении</w:t>
        </w:r>
      </w:hyperlink>
      <w:r>
        <w:rPr>
          <w:rFonts w:ascii="PT Astra Serif" w:hAnsi="PT Astra Serif"/>
          <w:bCs/>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4" w:history="1">
        <w:r>
          <w:rPr>
            <w:rFonts w:ascii="PT Astra Serif" w:hAnsi="PT Astra Serif"/>
            <w:bCs/>
          </w:rPr>
          <w:t>уведомлении</w:t>
        </w:r>
      </w:hyperlink>
      <w:r>
        <w:rPr>
          <w:rFonts w:ascii="PT Astra Serif" w:hAnsi="PT Astra Serif"/>
          <w:bCs/>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территории муниципального округа Тазовский район </w:t>
      </w:r>
      <w:r>
        <w:rPr>
          <w:rFonts w:ascii="PT Astra Serif" w:hAnsi="PT Astra Serif"/>
          <w:bCs/>
        </w:rPr>
        <w:lastRenderedPageBreak/>
        <w:t>Ямало-Ненецкого автономного округа</w:t>
      </w:r>
      <w:r>
        <w:rPr>
          <w:rFonts w:ascii="PT Astra Serif" w:hAnsi="PT Astra Serif"/>
        </w:rPr>
        <w:t>»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Уполномоченным органом                                        и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29"/>
        </w:numPr>
        <w:tabs>
          <w:tab w:val="left" w:pos="993"/>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округа Тазовский район Ямало-Ненецкого автономного округа </w:t>
      </w:r>
      <w:hyperlink r:id="rId15" w:history="1">
        <w:r>
          <w:rPr>
            <w:rFonts w:ascii="PT Astra Serif" w:hAnsi="PT Astra Serif"/>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6"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7"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8"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исч</w:t>
      </w:r>
      <w:r>
        <w:rPr>
          <w:rFonts w:ascii="PT Astra Serif" w:hAnsi="PT Astra Serif"/>
          <w:spacing w:val="-20"/>
          <w:sz w:val="28"/>
          <w:szCs w:val="28"/>
        </w:rPr>
        <w:t>ерпывающий перечень</w:t>
      </w:r>
      <w:r>
        <w:rPr>
          <w:rFonts w:ascii="PT Astra Serif" w:hAnsi="PT Astra Serif"/>
          <w:sz w:val="28"/>
          <w:szCs w:val="28"/>
        </w:rPr>
        <w:t xml:space="preserve">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круг заявителей;</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срок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размер платы, взимаемой за предоставление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исчерпывающий перечень оснований для приостановления или отказа          в предоставлении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 xml:space="preserve">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w:t>
      </w:r>
      <w:r>
        <w:rPr>
          <w:rFonts w:ascii="PT Astra Serif" w:hAnsi="PT Astra Serif"/>
        </w:rPr>
        <w:lastRenderedPageBreak/>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02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w:t>
      </w:r>
      <w:r>
        <w:rPr>
          <w:rFonts w:ascii="PT Astra Serif" w:hAnsi="PT Astra Serif"/>
          <w:sz w:val="28"/>
          <w:szCs w:val="28"/>
        </w:rPr>
        <w:lastRenderedPageBreak/>
        <w:t xml:space="preserve">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Тазовского района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709"/>
        <w:jc w:val="both"/>
        <w:outlineLvl w:val="2"/>
        <w:rPr>
          <w:rFonts w:ascii="PT Astra Serif" w:hAnsi="PT Astra Serif"/>
          <w:sz w:val="28"/>
          <w:szCs w:val="28"/>
        </w:rPr>
      </w:pPr>
      <w:r>
        <w:rPr>
          <w:rFonts w:ascii="PT Astra Serif" w:hAnsi="PT Astra Serif"/>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widowControl w:val="0"/>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Наименование муниципальной услуги: «</w:t>
      </w:r>
      <w:r>
        <w:rPr>
          <w:rFonts w:ascii="PT Astra Serif" w:hAnsi="PT Astra Serif" w:cs="Times New Roman"/>
          <w:bCs/>
          <w:sz w:val="28"/>
          <w:szCs w:val="28"/>
        </w:rPr>
        <w:t xml:space="preserve">Направление уведомления                       о соответствии указанных в </w:t>
      </w:r>
      <w:hyperlink r:id="rId19"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0"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Pr>
          <w:rFonts w:ascii="PT Astra Serif" w:hAnsi="PT Astra Serif"/>
          <w:bCs/>
          <w:sz w:val="28"/>
          <w:szCs w:val="28"/>
        </w:rPr>
        <w:t>на территории муниципального округа Тазовский район Ямало-Ненецкого автономного округа</w:t>
      </w:r>
      <w:r>
        <w:rPr>
          <w:rFonts w:ascii="PT Astra Serif" w:hAnsi="PT Astra Serif" w:cs="Times New Roman"/>
          <w:bCs/>
          <w:sz w:val="28"/>
          <w:szCs w:val="28"/>
        </w:rPr>
        <w:t>».</w:t>
      </w:r>
    </w:p>
    <w:p>
      <w:pPr>
        <w:autoSpaceDE w:val="0"/>
        <w:autoSpaceDN w:val="0"/>
        <w:adjustRightInd w:val="0"/>
        <w:spacing w:after="0" w:line="240" w:lineRule="auto"/>
        <w:jc w:val="center"/>
        <w:outlineLvl w:val="2"/>
        <w:rPr>
          <w:rFonts w:ascii="PT Astra Serif" w:hAnsi="PT Astra Serif"/>
          <w:i/>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Муниципальную услугу предоставляет Администрация Тазовского района.</w:t>
      </w:r>
    </w:p>
    <w:p>
      <w:pPr>
        <w:pStyle w:val="11"/>
        <w:widowControl w:val="0"/>
        <w:tabs>
          <w:tab w:val="left" w:pos="709"/>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архитектуры и градостроительства Администрации Тазовского района.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w:t>
      </w:r>
      <w:r>
        <w:rPr>
          <w:rFonts w:ascii="PT Astra Serif" w:hAnsi="PT Astra Serif" w:cs="Times New Roman"/>
          <w:sz w:val="28"/>
          <w:szCs w:val="28"/>
        </w:rPr>
        <w:lastRenderedPageBreak/>
        <w:t>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Pr>
          <w:rFonts w:ascii="PT Astra Serif" w:hAnsi="PT Astra Serif"/>
          <w:sz w:val="28"/>
          <w:szCs w:val="28"/>
        </w:rPr>
        <w:t xml:space="preserve">Федеральная служба государственной регистрации, кадастра                 и картографии (Росреестр);  </w:t>
      </w: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Служба государственной охраны объектов культурного наследия Ямало-Ненецкого автономного округа.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i/>
          <w:sz w:val="28"/>
          <w:szCs w:val="28"/>
        </w:rPr>
      </w:pPr>
      <w:r>
        <w:rPr>
          <w:rFonts w:ascii="PT Astra Serif" w:hAnsi="PT Astra Serif"/>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округе Тазовский район Ямало-Ненецкого автономного округа, утвержденный решением Думы Тазовского района.</w:t>
      </w:r>
    </w:p>
    <w:p>
      <w:pPr>
        <w:pStyle w:val="af"/>
        <w:tabs>
          <w:tab w:val="left" w:pos="1418"/>
        </w:tabs>
        <w:autoSpaceDE w:val="0"/>
        <w:autoSpaceDN w:val="0"/>
        <w:adjustRightInd w:val="0"/>
        <w:spacing w:after="0" w:line="240" w:lineRule="auto"/>
        <w:ind w:left="0"/>
        <w:jc w:val="center"/>
        <w:rPr>
          <w:rFonts w:ascii="PT Astra Serif" w:hAnsi="PT Astra Serif" w:cs="Times New Roman"/>
          <w:i/>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 завершается выдачей (направлением) заявителю:</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cs="Times New Roman"/>
          <w:b/>
          <w:bCs/>
          <w:sz w:val="28"/>
          <w:szCs w:val="28"/>
        </w:rPr>
      </w:pPr>
      <w:r>
        <w:rPr>
          <w:rFonts w:ascii="PT Astra Serif" w:hAnsi="PT Astra Serif" w:cs="Times New Roman"/>
          <w:bCs/>
          <w:sz w:val="28"/>
          <w:szCs w:val="28"/>
        </w:rPr>
        <w:t xml:space="preserve">уведомления о соответствии указанных в </w:t>
      </w:r>
      <w:hyperlink r:id="rId21"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w:t>
      </w:r>
      <w:r>
        <w:rPr>
          <w:rFonts w:ascii="PT Astra Serif" w:hAnsi="PT Astra Serif" w:cs="Times New Roman"/>
          <w:b/>
          <w:bCs/>
          <w:sz w:val="28"/>
          <w:szCs w:val="28"/>
        </w:rPr>
        <w:t xml:space="preserve">м </w:t>
      </w:r>
      <w:r>
        <w:rPr>
          <w:rFonts w:ascii="PT Astra Serif" w:hAnsi="PT Astra Serif" w:cs="Times New Roman"/>
          <w:bCs/>
          <w:sz w:val="28"/>
          <w:szCs w:val="28"/>
        </w:rPr>
        <w:t xml:space="preserve">участке (далее-уведомление                   о соответствии объекта ИЖС или садового дома) </w:t>
      </w:r>
      <w:r>
        <w:rPr>
          <w:rFonts w:ascii="PT Astra Serif" w:eastAsia="Times New Roman" w:hAnsi="PT Astra Serif" w:cs="Times New Roman"/>
          <w:sz w:val="28"/>
          <w:szCs w:val="28"/>
        </w:rPr>
        <w:t xml:space="preserve">по форме, утвержденной </w:t>
      </w:r>
      <w:r>
        <w:rPr>
          <w:rFonts w:ascii="PT Astra Serif" w:hAnsi="PT Astra Serif" w:cs="Times New Roman"/>
          <w:bCs/>
          <w:sz w:val="28"/>
          <w:szCs w:val="28"/>
        </w:rPr>
        <w:t>приказом Министерства строительства и жилищно-коммунального хозяйства Российской Федерации от 19 сентября 2018 года №591/пр (приложение № 1                        к настоящему регламенту);</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уведомления о несоответствии указанных в </w:t>
      </w:r>
      <w:hyperlink r:id="rId22"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(далее-уведомление о несоответствии объекта ИЖС или садового дома)                           по </w:t>
      </w:r>
      <w:r>
        <w:rPr>
          <w:rFonts w:ascii="PT Astra Serif" w:eastAsia="Times New Roman" w:hAnsi="PT Astra Serif" w:cs="Times New Roman"/>
          <w:sz w:val="28"/>
          <w:szCs w:val="28"/>
        </w:rPr>
        <w:t xml:space="preserve">форме, утвержденной </w:t>
      </w:r>
      <w:r>
        <w:rPr>
          <w:rFonts w:ascii="PT Astra Serif" w:hAnsi="PT Astra Serif" w:cs="Times New Roman"/>
          <w:bCs/>
          <w:sz w:val="28"/>
          <w:szCs w:val="28"/>
        </w:rPr>
        <w:t>приказом Министерства строительства и жилищно-коммунального хозяйства Российской Федерации от 19 сентября 2018 года                      № 591/пр (приложение № 2 к настоящему регламенту).</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Срок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olor w:val="000000"/>
          <w:sz w:val="28"/>
          <w:szCs w:val="28"/>
        </w:rPr>
        <w:t xml:space="preserve">с учетом необходимости обращения в организации, участвующие                     в предоставлении муниципальной услуги, – семь рабочих </w:t>
      </w:r>
      <w:r>
        <w:rPr>
          <w:rFonts w:ascii="PT Astra Serif" w:hAnsi="PT Astra Serif"/>
          <w:bCs/>
          <w:color w:val="000000"/>
          <w:sz w:val="28"/>
          <w:szCs w:val="28"/>
        </w:rPr>
        <w:t xml:space="preserve">дней </w:t>
      </w:r>
      <w:r>
        <w:rPr>
          <w:rFonts w:ascii="PT Astra Serif" w:hAnsi="PT Astra Serif"/>
          <w:color w:val="000000"/>
          <w:sz w:val="28"/>
          <w:szCs w:val="28"/>
        </w:rPr>
        <w:t xml:space="preserve">с момента регистрации </w:t>
      </w:r>
      <w:r>
        <w:rPr>
          <w:rFonts w:ascii="PT Astra Serif" w:hAnsi="PT Astra Serif" w:cs="Times New Roman"/>
          <w:sz w:val="28"/>
          <w:szCs w:val="28"/>
        </w:rPr>
        <w:t xml:space="preserve">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 планируемых строительстве                     или реконструкции объекта, уведомления об изменении параметров планируемого строительства) и иных документов, необходимых                                  для предоставления муниципальной услуги, в Уполномоченном органе; </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учетом необходимости направления уведомления о планируемых строительстве или реконструкции объекта или уведомления об изменении параметров планируемого строительства и приложенного к нему описания внешнего облика объекта индивидуального жилищного строительства                        или садового дома в Службу государственной охраны объектов культурного наследия Ямало-Ненецкого автономного округа и получения от неё уведомления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значения–двадцать рабочих дней                 с момента регистрации уведомления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 в Уполномоченном органе.</w:t>
      </w:r>
    </w:p>
    <w:p>
      <w:pPr>
        <w:pStyle w:val="af"/>
        <w:numPr>
          <w:ilvl w:val="1"/>
          <w:numId w:val="5"/>
        </w:numPr>
        <w:tabs>
          <w:tab w:val="left" w:pos="1276"/>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направлении заявителем уведомления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 посредством почтового отправления с уведомлением о вручении, в электронной форме либо                        через МФЦ, срок предоставления муниципальной услуги исчисляется со дня регистрации уведомления в Уполномоченном органе.</w:t>
      </w:r>
    </w:p>
    <w:p>
      <w:pPr>
        <w:pStyle w:val="af"/>
        <w:numPr>
          <w:ilvl w:val="1"/>
          <w:numId w:val="5"/>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личном приеме -  пятнадцать минут;</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1"/>
          <w:numId w:val="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один рабочий день. </w:t>
      </w: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lastRenderedPageBreak/>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bCs/>
          <w:sz w:val="28"/>
          <w:szCs w:val="28"/>
        </w:rPr>
      </w:pPr>
      <w:r>
        <w:rPr>
          <w:rFonts w:ascii="PT Astra Serif" w:hAnsi="PT Astra Serif"/>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Pr>
          <w:rFonts w:ascii="PT Astra Serif" w:eastAsia="Calibri" w:hAnsi="PT Astra Serif"/>
          <w:sz w:val="28"/>
          <w:szCs w:val="28"/>
        </w:rPr>
        <w:t>в разделе «Градостроительная деятельность»</w:t>
      </w:r>
      <w:r>
        <w:rPr>
          <w:rFonts w:ascii="PT Astra Serif" w:hAnsi="PT Astra Serif"/>
          <w:bCs/>
          <w:sz w:val="28"/>
          <w:szCs w:val="28"/>
        </w:rPr>
        <w:t>, на Едином портале и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jc w:val="center"/>
        <w:rPr>
          <w:rFonts w:ascii="PT Astra Serif" w:hAnsi="PT Astra Serif"/>
          <w:b/>
          <w:bCs/>
        </w:rPr>
      </w:pPr>
      <w:r>
        <w:rPr>
          <w:rFonts w:ascii="PT Astra Serif" w:hAnsi="PT Astra Serif"/>
          <w:b/>
          <w:bCs/>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jc w:val="center"/>
        <w:rPr>
          <w:rFonts w:ascii="PT Astra Serif" w:hAnsi="PT Astra Serif"/>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Основанием для начала оказания муниципальной услуги является поступление в Уполномоченный орган уведомления:</w:t>
      </w:r>
    </w:p>
    <w:p>
      <w:pPr>
        <w:pStyle w:val="af"/>
        <w:numPr>
          <w:ilvl w:val="0"/>
          <w:numId w:val="3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 планируемых строительстве или реконструкции объекта; </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pacing w:val="-20"/>
          <w:sz w:val="28"/>
          <w:szCs w:val="28"/>
        </w:rPr>
        <w:t xml:space="preserve">об </w:t>
      </w:r>
      <w:r>
        <w:rPr>
          <w:rFonts w:ascii="PT Astra Serif" w:hAnsi="PT Astra Serif" w:cs="Times New Roman"/>
          <w:sz w:val="28"/>
          <w:szCs w:val="28"/>
        </w:rPr>
        <w:t>изм</w:t>
      </w:r>
      <w:r>
        <w:rPr>
          <w:rFonts w:ascii="PT Astra Serif" w:hAnsi="PT Astra Serif" w:cs="Times New Roman"/>
          <w:spacing w:val="-20"/>
          <w:sz w:val="28"/>
          <w:szCs w:val="28"/>
        </w:rPr>
        <w:t>енении пар</w:t>
      </w:r>
      <w:r>
        <w:rPr>
          <w:rFonts w:ascii="PT Astra Serif" w:hAnsi="PT Astra Serif" w:cs="Times New Roman"/>
          <w:sz w:val="28"/>
          <w:szCs w:val="28"/>
        </w:rPr>
        <w:t>амет</w:t>
      </w:r>
      <w:r>
        <w:rPr>
          <w:rFonts w:ascii="PT Astra Serif" w:hAnsi="PT Astra Serif" w:cs="Times New Roman"/>
          <w:spacing w:val="-20"/>
          <w:sz w:val="28"/>
          <w:szCs w:val="28"/>
        </w:rPr>
        <w:t>ров планируемого</w:t>
      </w:r>
      <w:r>
        <w:rPr>
          <w:rFonts w:ascii="PT Astra Serif" w:hAnsi="PT Astra Serif" w:cs="Times New Roman"/>
          <w:sz w:val="28"/>
          <w:szCs w:val="28"/>
        </w:rPr>
        <w:t xml:space="preserve"> строительства или реконструкции.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eastAsia="Calibri" w:hAnsi="PT Astra Serif" w:cs="Times New Roman"/>
          <w:spacing w:val="-20"/>
          <w:sz w:val="28"/>
          <w:szCs w:val="28"/>
        </w:rPr>
        <w:t xml:space="preserve">Формы </w:t>
      </w:r>
      <w:r>
        <w:rPr>
          <w:rFonts w:ascii="PT Astra Serif" w:hAnsi="PT Astra Serif" w:cs="Times New Roman"/>
          <w:spacing w:val="-20"/>
          <w:sz w:val="28"/>
          <w:szCs w:val="28"/>
        </w:rPr>
        <w:t>уведомлений</w:t>
      </w:r>
      <w:r>
        <w:rPr>
          <w:rFonts w:ascii="PT Astra Serif" w:hAnsi="PT Astra Serif" w:cs="Times New Roman"/>
          <w:sz w:val="28"/>
          <w:szCs w:val="28"/>
        </w:rPr>
        <w:t xml:space="preserve"> о планируемых строительстве или реконструкции объекта или об изменении параметров планируемого строительства                            или реконструкции</w:t>
      </w:r>
      <w:r>
        <w:rPr>
          <w:rFonts w:ascii="PT Astra Serif" w:eastAsia="Calibri" w:hAnsi="PT Astra Serif" w:cs="Times New Roman"/>
          <w:sz w:val="28"/>
          <w:szCs w:val="28"/>
        </w:rPr>
        <w:t xml:space="preserve"> утверждены </w:t>
      </w:r>
      <w:r>
        <w:rPr>
          <w:rFonts w:ascii="PT Astra Serif" w:hAnsi="PT Astra Serif" w:cs="Times New Roman"/>
          <w:sz w:val="28"/>
          <w:szCs w:val="28"/>
        </w:rPr>
        <w:t xml:space="preserve">приказом </w:t>
      </w:r>
      <w:r>
        <w:rPr>
          <w:rFonts w:ascii="PT Astra Serif" w:hAnsi="PT Astra Serif"/>
          <w:sz w:val="28"/>
          <w:szCs w:val="28"/>
        </w:rPr>
        <w:t xml:space="preserve">Министерством строительства                       и жилищно-коммунального хозяйства Российской Федерации от 19 сентября 2018 года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(Зарегистрировано в Минюсте России 27.09.2018 № 52269) (приложение №3, №4 к настоящему регламенту). </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w:t>
      </w:r>
      <w:r>
        <w:rPr>
          <w:rFonts w:ascii="PT Astra Serif" w:hAnsi="PT Astra Serif" w:cs="Times New Roman"/>
          <w:sz w:val="28"/>
          <w:szCs w:val="28"/>
        </w:rPr>
        <w:t>ведомление о планируемых строительстве или реконструкции объекта или об изменении параметров планируемого строительства                           или реконструкции</w:t>
      </w:r>
      <w:r>
        <w:rPr>
          <w:rFonts w:ascii="PT Astra Serif" w:eastAsia="Calibri" w:hAnsi="PT Astra Serif" w:cs="Times New Roman"/>
          <w:sz w:val="28"/>
          <w:szCs w:val="28"/>
        </w:rPr>
        <w:t xml:space="preserve"> (документы) может быть подано заявителем                                     в Уполномоченный орган одним из следующих способов:</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представитель заявителя;</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8"/>
        </w:numPr>
        <w:tabs>
          <w:tab w:val="left" w:pos="993"/>
        </w:tabs>
        <w:spacing w:after="0" w:line="240" w:lineRule="auto"/>
        <w:ind w:left="0" w:firstLine="709"/>
        <w:jc w:val="both"/>
        <w:rPr>
          <w:rFonts w:ascii="PT Astra Serif" w:eastAsia="Calibri" w:hAnsi="PT Astra Serif" w:cs="Times New Roman"/>
          <w:i/>
          <w:color w:val="FF0000"/>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В данном случае уведомление о планируемых строительстве или реконструкции объекта или об изменении параметров планируемого строительства или реконструкции заполняется работником МФЦ     в автоматизированной информационной системе МФЦ (далее – АИС МФЦ).</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w:t>
      </w:r>
      <w:r>
        <w:rPr>
          <w:rFonts w:ascii="PT Astra Serif" w:eastAsia="Calibri" w:hAnsi="PT Astra Serif" w:cs="Times New Roman"/>
          <w:sz w:val="28"/>
          <w:szCs w:val="28"/>
        </w:rPr>
        <w:lastRenderedPageBreak/>
        <w:t>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в одном экземпляре                           к уведомлению о планируемых строительстве или реконструкции объекта                   или об изменении параметров планируемого строительства или реконструкции, которые заявитель должен представить самостоятельно:</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 в 1 экз.;</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 в 1 экз.;</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в </w:t>
      </w:r>
      <w:r>
        <w:rPr>
          <w:rFonts w:ascii="PT Astra Serif" w:hAnsi="PT Astra Serif" w:cs="PT Astra Serif"/>
          <w:sz w:val="28"/>
          <w:szCs w:val="28"/>
        </w:rPr>
        <w:t>1 экз.</w:t>
      </w:r>
      <w:r>
        <w:rPr>
          <w:rFonts w:ascii="PT Astra Serif" w:hAnsi="PT Astra Serif" w:cs="Times New Roman"/>
          <w:sz w:val="28"/>
          <w:szCs w:val="28"/>
        </w:rPr>
        <w:t>;</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описание внешнего облика объекта индивидуального жилищного строительства или садового дома в 1 экземпляре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3" w:history="1">
        <w:r>
          <w:rPr>
            <w:rFonts w:ascii="PT Astra Serif" w:hAnsi="PT Astra Serif" w:cs="Times New Roman"/>
            <w:sz w:val="28"/>
            <w:szCs w:val="28"/>
          </w:rPr>
          <w:t>частью 5</w:t>
        </w:r>
      </w:hyperlink>
      <w:r>
        <w:rPr>
          <w:rFonts w:ascii="PT Astra Serif" w:hAnsi="PT Astra Serif" w:cs="Times New Roman"/>
          <w:sz w:val="28"/>
          <w:szCs w:val="28"/>
        </w:rPr>
        <w:t xml:space="preserve">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9"/>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9"/>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9"/>
        </w:numPr>
        <w:tabs>
          <w:tab w:val="left" w:pos="993"/>
        </w:tabs>
        <w:spacing w:after="0" w:line="240" w:lineRule="auto"/>
        <w:ind w:left="0" w:firstLine="709"/>
        <w:jc w:val="both"/>
        <w:rPr>
          <w:rFonts w:ascii="PT Astra Serif" w:hAnsi="PT Astra Serif"/>
          <w:sz w:val="28"/>
          <w:szCs w:val="28"/>
        </w:rPr>
      </w:pPr>
      <w:r>
        <w:rPr>
          <w:rFonts w:ascii="PT Astra Serif" w:eastAsia="Calibri" w:hAnsi="PT Astra Serif" w:cs="Times New Roman"/>
          <w:sz w:val="28"/>
          <w:szCs w:val="28"/>
        </w:rPr>
        <w:lastRenderedPageBreak/>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правоустанавливающие документы на земельный участок                                при их наличии в Едином государственном реестре недвижимости (оригинал/копия или сведения содержащиеся в них) в 1 экземпляре.</w:t>
      </w:r>
    </w:p>
    <w:p>
      <w:pPr>
        <w:tabs>
          <w:tab w:val="left" w:pos="1276"/>
        </w:tabs>
        <w:autoSpaceDE w:val="0"/>
        <w:autoSpaceDN w:val="0"/>
        <w:adjustRightInd w:val="0"/>
        <w:spacing w:after="0" w:line="240" w:lineRule="auto"/>
        <w:ind w:firstLine="709"/>
        <w:jc w:val="both"/>
        <w:outlineLvl w:val="2"/>
        <w:rPr>
          <w:rFonts w:ascii="PT Astra Serif" w:hAnsi="PT Astra Serif" w:cs="Times New Roman"/>
          <w:bCs/>
          <w:sz w:val="28"/>
          <w:szCs w:val="28"/>
        </w:rPr>
      </w:pPr>
      <w:r>
        <w:rPr>
          <w:rFonts w:ascii="PT Astra Serif" w:hAnsi="PT Astra Serif" w:cs="Times New Roman"/>
          <w:bCs/>
          <w:sz w:val="28"/>
          <w:szCs w:val="28"/>
        </w:rPr>
        <w:t xml:space="preserve">Заявитель может получить данный документ в </w:t>
      </w:r>
      <w:r>
        <w:rPr>
          <w:rFonts w:ascii="PT Astra Serif" w:hAnsi="PT Astra Serif" w:cs="Times New Roman"/>
          <w:color w:val="000000" w:themeColor="text1"/>
          <w:sz w:val="28"/>
          <w:szCs w:val="28"/>
        </w:rPr>
        <w:t>Федеральной службе государственной регистрации, кадастра и картографии (Росреестр)</w:t>
      </w:r>
      <w:r>
        <w:rPr>
          <w:rFonts w:ascii="PT Astra Serif" w:hAnsi="PT Astra Serif" w:cs="Times New Roman"/>
          <w:bCs/>
          <w:sz w:val="28"/>
          <w:szCs w:val="28"/>
        </w:rPr>
        <w:t xml:space="preserve"> в рамках предоставления государственной</w:t>
      </w:r>
      <w:r>
        <w:rPr>
          <w:rFonts w:ascii="PT Astra Serif" w:hAnsi="PT Astra Serif" w:cs="Arial"/>
          <w:color w:val="000000"/>
          <w:sz w:val="28"/>
          <w:szCs w:val="28"/>
          <w:shd w:val="clear" w:color="auto" w:fill="FFFFFF"/>
        </w:rPr>
        <w:t xml:space="preserve"> услуги предоставление сведений из Единого государственного реестра недвижимости</w:t>
      </w:r>
      <w:r>
        <w:rPr>
          <w:rFonts w:ascii="PT Astra Serif" w:hAnsi="PT Astra Serif" w:cs="Times New Roman"/>
          <w:bCs/>
          <w:sz w:val="28"/>
          <w:szCs w:val="28"/>
        </w:rPr>
        <w:t>.</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Непредставление заявителем документов, указанных в пункте 10 настоящего регламента, не является основанием для отказа в предоставлении муниципальной услуги.</w:t>
      </w:r>
    </w:p>
    <w:p>
      <w:pPr>
        <w:tabs>
          <w:tab w:val="left" w:pos="1418"/>
        </w:tabs>
        <w:autoSpaceDE w:val="0"/>
        <w:autoSpaceDN w:val="0"/>
        <w:adjustRightInd w:val="0"/>
        <w:spacing w:after="0" w:line="240" w:lineRule="auto"/>
        <w:ind w:firstLine="709"/>
        <w:jc w:val="both"/>
        <w:outlineLvl w:val="2"/>
        <w:rPr>
          <w:rFonts w:ascii="PT Astra Serif" w:hAnsi="PT Astra Serif" w:cs="Times New Roman"/>
          <w:bCs/>
          <w:sz w:val="28"/>
          <w:szCs w:val="28"/>
        </w:rPr>
      </w:pPr>
      <w:r>
        <w:rPr>
          <w:rFonts w:ascii="PT Astra Serif" w:hAnsi="PT Astra Serif" w:cs="Times New Roman"/>
          <w:bCs/>
          <w:sz w:val="28"/>
          <w:szCs w:val="28"/>
        </w:rPr>
        <w:t>В случае если документы, указанные в пункте 10 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Специалисты Уполномоченного органа, работники МФЦ не вправе требовать от заявителя:</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w:t>
      </w:r>
      <w:r>
        <w:rPr>
          <w:rFonts w:ascii="PT Astra Serif" w:hAnsi="PT Astra Serif" w:cs="Times New Roman"/>
          <w:bCs/>
          <w:sz w:val="28"/>
          <w:szCs w:val="28"/>
        </w:rPr>
        <w:lastRenderedPageBreak/>
        <w:t>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Исчерпывающие перечни оснований для отказа в приеме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документов, необходимых для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устанавливаемых федеральными законами, принимаемыми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w:t>
      </w:r>
    </w:p>
    <w:p>
      <w:pPr>
        <w:pStyle w:val="ConsPlusNormal"/>
        <w:numPr>
          <w:ilvl w:val="0"/>
          <w:numId w:val="33"/>
        </w:numPr>
        <w:tabs>
          <w:tab w:val="left" w:pos="1134"/>
        </w:tabs>
        <w:ind w:left="0" w:firstLine="709"/>
        <w:jc w:val="both"/>
        <w:rPr>
          <w:rFonts w:ascii="PT Astra Serif" w:hAnsi="PT Astra Serif"/>
        </w:rPr>
      </w:pPr>
      <w:r>
        <w:rPr>
          <w:rFonts w:ascii="PT Astra Serif" w:hAnsi="PT Astra Serif"/>
        </w:rPr>
        <w:t>основания для отказа в приеме документов, необходимых                                для предоставления муниципальной услуги, представленных на бумажном носителе, отсутствуют;</w:t>
      </w:r>
    </w:p>
    <w:p>
      <w:pPr>
        <w:pStyle w:val="ConsPlusNormal"/>
        <w:numPr>
          <w:ilvl w:val="0"/>
          <w:numId w:val="33"/>
        </w:numPr>
        <w:tabs>
          <w:tab w:val="left" w:pos="1134"/>
        </w:tabs>
        <w:ind w:left="0" w:firstLine="709"/>
        <w:jc w:val="both"/>
        <w:rPr>
          <w:rFonts w:ascii="PT Astra Serif" w:hAnsi="PT Astra Serif"/>
        </w:rPr>
      </w:pPr>
      <w:r>
        <w:rPr>
          <w:rFonts w:ascii="PT Astra Serif" w:hAnsi="PT Astra Serif"/>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                     (для юридических лиц, индивидуальных предпринимателей).</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отказа в предоставлении муниципальной услуги отсутствуют.</w:t>
      </w:r>
    </w:p>
    <w:p>
      <w:pPr>
        <w:pStyle w:val="aa"/>
        <w:ind w:firstLine="0"/>
        <w:jc w:val="center"/>
        <w:rPr>
          <w:rFonts w:ascii="PT Astra Serif" w:hAnsi="PT Astra Serif" w:cs="Times New Roman"/>
          <w:b/>
          <w:bCs/>
        </w:rPr>
      </w:pPr>
    </w:p>
    <w:p>
      <w:pPr>
        <w:pStyle w:val="aa"/>
        <w:ind w:firstLine="0"/>
        <w:jc w:val="center"/>
        <w:rPr>
          <w:rFonts w:ascii="PT Astra Serif" w:hAnsi="PT Astra Serif" w:cs="Times New Roman"/>
          <w:b/>
          <w:bCs/>
        </w:rPr>
      </w:pPr>
    </w:p>
    <w:p>
      <w:pPr>
        <w:pStyle w:val="aa"/>
        <w:ind w:firstLine="0"/>
        <w:jc w:val="center"/>
        <w:rPr>
          <w:rFonts w:ascii="PT Astra Serif" w:hAnsi="PT Astra Serif" w:cs="Times New Roman"/>
          <w:b/>
          <w:bCs/>
        </w:rPr>
      </w:pPr>
      <w:r>
        <w:rPr>
          <w:rFonts w:ascii="PT Astra Serif" w:hAnsi="PT Astra Serif" w:cs="Times New Roman"/>
          <w:b/>
          <w:bCs/>
        </w:rPr>
        <w:lastRenderedPageBreak/>
        <w:t>Перечень услуг, которые являются необходимыми и обязательными</w:t>
      </w:r>
    </w:p>
    <w:p>
      <w:pPr>
        <w:pStyle w:val="aa"/>
        <w:ind w:firstLine="0"/>
        <w:jc w:val="center"/>
        <w:rPr>
          <w:rFonts w:ascii="PT Astra Serif" w:hAnsi="PT Astra Serif" w:cs="Times New Roman"/>
          <w:b/>
          <w:bCs/>
        </w:rPr>
      </w:pPr>
      <w:r>
        <w:rPr>
          <w:rFonts w:ascii="PT Astra Serif" w:hAnsi="PT Astra Serif" w:cs="Times New Roman"/>
          <w:b/>
          <w:bCs/>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
          <w:sz w:val="28"/>
          <w:szCs w:val="28"/>
          <w:lang w:eastAsia="en-US"/>
        </w:rPr>
      </w:pPr>
    </w:p>
    <w:p>
      <w:pPr>
        <w:widowControl w:val="0"/>
        <w:autoSpaceDE w:val="0"/>
        <w:autoSpaceDN w:val="0"/>
        <w:adjustRightInd w:val="0"/>
        <w:spacing w:after="0" w:line="240" w:lineRule="auto"/>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widowControl w:val="0"/>
        <w:autoSpaceDE w:val="0"/>
        <w:autoSpaceDN w:val="0"/>
        <w:adjustRightInd w:val="0"/>
        <w:spacing w:after="0" w:line="240" w:lineRule="auto"/>
        <w:jc w:val="center"/>
        <w:rPr>
          <w:rFonts w:ascii="PT Astra Serif" w:hAnsi="PT Astra Serif"/>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b/>
          <w:bCs/>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i/>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i/>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Максимальный срок ожидания в очереди при подаче запроса</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i/>
          <w:i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color w:val="000000" w:themeColor="text1"/>
          <w:sz w:val="28"/>
          <w:szCs w:val="28"/>
          <w:lang w:eastAsia="en-US"/>
        </w:rPr>
        <w:t xml:space="preserve">пунктами 21-21.4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540"/>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наименование Уполномоченного органа (или его подразделения);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режим его работы;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адрес официального интернет-сайта;</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телефонные номера и адреса электронной почты для получения справочной информации.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Calibri" w:hAnsi="PT Astra Serif"/>
          <w:spacing w:val="-20"/>
          <w:sz w:val="28"/>
          <w:szCs w:val="28"/>
          <w:lang w:eastAsia="en-US"/>
        </w:rPr>
        <w:t>Сл</w:t>
      </w:r>
      <w:r>
        <w:rPr>
          <w:rFonts w:ascii="PT Astra Serif" w:eastAsia="Calibri" w:hAnsi="PT Astra Serif"/>
          <w:sz w:val="28"/>
          <w:szCs w:val="28"/>
          <w:lang w:eastAsia="en-US"/>
        </w:rPr>
        <w:t>ужеб</w:t>
      </w:r>
      <w:r>
        <w:rPr>
          <w:rFonts w:ascii="PT Astra Serif" w:eastAsia="Calibri" w:hAnsi="PT Astra Serif"/>
          <w:spacing w:val="-20"/>
          <w:sz w:val="28"/>
          <w:szCs w:val="28"/>
          <w:lang w:eastAsia="en-US"/>
        </w:rPr>
        <w:t xml:space="preserve">ные </w:t>
      </w:r>
      <w:r>
        <w:rPr>
          <w:rFonts w:ascii="PT Astra Serif" w:eastAsia="Calibri" w:hAnsi="PT Astra Serif"/>
          <w:sz w:val="28"/>
          <w:szCs w:val="28"/>
          <w:lang w:eastAsia="en-US"/>
        </w:rPr>
        <w:t>каб</w:t>
      </w:r>
      <w:r>
        <w:rPr>
          <w:rFonts w:ascii="PT Astra Serif" w:eastAsia="Calibri" w:hAnsi="PT Astra Serif"/>
          <w:spacing w:val="-20"/>
          <w:sz w:val="28"/>
          <w:szCs w:val="28"/>
          <w:lang w:eastAsia="en-US"/>
        </w:rPr>
        <w:t>ин</w:t>
      </w:r>
      <w:r>
        <w:rPr>
          <w:rFonts w:ascii="PT Astra Serif" w:eastAsia="Calibri" w:hAnsi="PT Astra Serif"/>
          <w:sz w:val="28"/>
          <w:szCs w:val="28"/>
          <w:lang w:eastAsia="en-US"/>
        </w:rPr>
        <w:t>ет</w:t>
      </w:r>
      <w:r>
        <w:rPr>
          <w:rFonts w:ascii="PT Astra Serif" w:eastAsia="Calibri" w:hAnsi="PT Astra Serif"/>
          <w:spacing w:val="-20"/>
          <w:sz w:val="28"/>
          <w:szCs w:val="28"/>
          <w:lang w:eastAsia="en-US"/>
        </w:rPr>
        <w:t>ы</w:t>
      </w:r>
      <w:r>
        <w:rPr>
          <w:rFonts w:ascii="PT Astra Serif" w:eastAsia="Calibri" w:hAnsi="PT Astra Serif"/>
          <w:sz w:val="28"/>
          <w:szCs w:val="28"/>
          <w:lang w:eastAsia="en-US"/>
        </w:rPr>
        <w:t xml:space="preserve">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округа Тазовский район Ямало-Ненецкого автономного округа,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w:t>
      </w:r>
      <w:r>
        <w:rPr>
          <w:rFonts w:ascii="PT Astra Serif" w:hAnsi="PT Astra Serif" w:cs="Times New Roman"/>
          <w:sz w:val="28"/>
          <w:szCs w:val="28"/>
          <w:lang w:val="en-US"/>
        </w:rPr>
        <w:t xml:space="preserve">                   </w:t>
      </w:r>
      <w:r>
        <w:rPr>
          <w:rFonts w:ascii="PT Astra Serif" w:hAnsi="PT Astra Serif" w:cs="Times New Roman"/>
          <w:sz w:val="28"/>
          <w:szCs w:val="28"/>
        </w:rPr>
        <w:t>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w:t>
      </w:r>
      <w:r>
        <w:rPr>
          <w:rFonts w:ascii="PT Astra Serif" w:hAnsi="PT Astra Serif" w:cs="Times New Roman"/>
          <w:sz w:val="28"/>
          <w:szCs w:val="28"/>
        </w:rPr>
        <w:lastRenderedPageBreak/>
        <w:t xml:space="preserve">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 </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spacing w:after="0" w:line="240" w:lineRule="auto"/>
        <w:jc w:val="center"/>
        <w:rPr>
          <w:rFonts w:ascii="PT Astra Serif" w:hAnsi="PT Astra Serif" w:cs="Times New Roman"/>
          <w:b/>
          <w:bCs/>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4678"/>
        <w:gridCol w:w="1417"/>
        <w:gridCol w:w="2835"/>
      </w:tblGrid>
      <w:tr>
        <w:trPr>
          <w:cantSplit/>
          <w:trHeight w:val="827"/>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467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Наименование показателя доступности </w:t>
            </w:r>
          </w:p>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Единица </w:t>
            </w:r>
            <w:r>
              <w:rPr>
                <w:rFonts w:ascii="PT Astra Serif" w:hAnsi="PT Astra Serif" w:cs="Times New Roman"/>
                <w:bCs/>
                <w:sz w:val="24"/>
                <w:szCs w:val="28"/>
              </w:rPr>
              <w:br/>
              <w:t>измерения</w:t>
            </w:r>
          </w:p>
        </w:tc>
        <w:tc>
          <w:tcPr>
            <w:tcW w:w="283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w:t>
            </w:r>
            <w:r>
              <w:rPr>
                <w:rFonts w:ascii="PT Astra Serif" w:hAnsi="PT Astra Serif" w:cs="Times New Roman"/>
                <w:bCs/>
                <w:sz w:val="24"/>
                <w:szCs w:val="28"/>
              </w:rPr>
              <w:b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6"/>
          <w:szCs w:val="28"/>
        </w:rPr>
      </w:pPr>
    </w:p>
    <w:tbl>
      <w:tblPr>
        <w:tblW w:w="9621" w:type="dxa"/>
        <w:jc w:val="center"/>
        <w:tblLayout w:type="fixed"/>
        <w:tblCellMar>
          <w:left w:w="70" w:type="dxa"/>
          <w:right w:w="70" w:type="dxa"/>
        </w:tblCellMar>
        <w:tblLook w:val="0000" w:firstRow="0" w:lastRow="0" w:firstColumn="0" w:lastColumn="0" w:noHBand="0" w:noVBand="0"/>
      </w:tblPr>
      <w:tblGrid>
        <w:gridCol w:w="690"/>
        <w:gridCol w:w="4689"/>
        <w:gridCol w:w="1417"/>
        <w:gridCol w:w="2825"/>
      </w:tblGrid>
      <w:tr>
        <w:trPr>
          <w:cantSplit/>
          <w:trHeight w:val="240"/>
          <w:tblHeader/>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402"/>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а также 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52"/>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обоснованных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и решения должностных лиц, участвующих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3.4.</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рассмотрения жалоб на действия (бездействие) должностных лиц в связи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588"/>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квалифицированными кадрами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соответствии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516"/>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при получении результата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Состав действий, которые заявитель вправе совершить в электронной форме                     при получении муниципальной услуги с использованием Единого портала                                     (с момента реализации технической возможности)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информации о порядке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Оплата государственной пошлины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 предоставление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уплата иных платежей, взимаемых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6.7.</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468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17"/>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jc w:val="center"/>
        </w:trPr>
        <w:tc>
          <w:tcPr>
            <w:tcW w:w="69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в МФЦ (с момента вступления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силу соглашения о взаимодействии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между МФЦ и Администрацией                 Тазовского района)</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jc w:val="center"/>
        </w:trPr>
        <w:tc>
          <w:tcPr>
            <w:tcW w:w="69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468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9621"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4689"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before="240"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предоставления муниципальной услуги по экстерриториальному принципу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 экстерриториальному принципу) и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услуги в электронной форме</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sz w:val="28"/>
          <w:szCs w:val="28"/>
        </w:rPr>
      </w:pPr>
      <w:r>
        <w:rPr>
          <w:rFonts w:ascii="PT Astra Serif" w:eastAsia="Calibri" w:hAnsi="PT Astra Serif" w:cs="Times New Roman"/>
          <w:sz w:val="28"/>
          <w:szCs w:val="28"/>
        </w:rPr>
        <w:lastRenderedPageBreak/>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1"/>
        </w:numPr>
        <w:tabs>
          <w:tab w:val="left" w:pos="0"/>
          <w:tab w:val="left" w:pos="993"/>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1"/>
        </w:numPr>
        <w:tabs>
          <w:tab w:val="left" w:pos="0"/>
          <w:tab w:val="left" w:pos="993"/>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color w:val="000000"/>
          <w:sz w:val="28"/>
          <w:szCs w:val="28"/>
        </w:rPr>
        <w:t xml:space="preserve"> </w:t>
      </w: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pacing w:val="-20"/>
          <w:sz w:val="28"/>
          <w:szCs w:val="28"/>
        </w:rPr>
        <w:t>пр</w:t>
      </w:r>
      <w:r>
        <w:rPr>
          <w:rFonts w:ascii="PT Astra Serif" w:hAnsi="PT Astra Serif" w:cs="Times New Roman"/>
          <w:color w:val="000000"/>
          <w:sz w:val="28"/>
          <w:szCs w:val="28"/>
        </w:rPr>
        <w:t>инят</w:t>
      </w:r>
      <w:r>
        <w:rPr>
          <w:rFonts w:ascii="PT Astra Serif" w:hAnsi="PT Astra Serif" w:cs="Times New Roman"/>
          <w:color w:val="000000"/>
          <w:spacing w:val="-20"/>
          <w:sz w:val="28"/>
          <w:szCs w:val="28"/>
        </w:rPr>
        <w:t>ие уведомления</w:t>
      </w:r>
      <w:r>
        <w:rPr>
          <w:rFonts w:ascii="PT Astra Serif" w:hAnsi="PT Astra Serif" w:cs="Times New Roman"/>
          <w:color w:val="000000"/>
          <w:sz w:val="28"/>
          <w:szCs w:val="28"/>
        </w:rPr>
        <w:t xml:space="preserve">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рассмотрение уведомления о планируемых строительстве или реконструкции объекта, уведомления об изменении параметров планируемого строительства с приложенными к нему документами, формирование                                и направление межведомственного запроса в иные органы государственной </w:t>
      </w:r>
      <w:r>
        <w:rPr>
          <w:rFonts w:ascii="PT Astra Serif" w:hAnsi="PT Astra Serif" w:cs="Times New Roman"/>
          <w:sz w:val="28"/>
          <w:szCs w:val="28"/>
        </w:rPr>
        <w:lastRenderedPageBreak/>
        <w:t>власти, органы местного самоуправления и организации, участвующие                                в предоставлении муниципальных услуги оформление результата предоставления муниципальной услуги либо решения о возвращении заявителю указанного уведомления и прилагаемых к нему документов                          без рассмотрения с указанием причин возврата;</w:t>
      </w:r>
    </w:p>
    <w:p>
      <w:pPr>
        <w:pStyle w:val="af"/>
        <w:numPr>
          <w:ilvl w:val="1"/>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выдача (направление) заявителю результата предоставления муниципальной услуги либо решения о возвращении заявителю уведомления                  о планируемых строительстве или реконструкции объекта или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3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p>
    <w:p>
      <w:pPr>
        <w:pStyle w:val="af"/>
        <w:numPr>
          <w:ilvl w:val="0"/>
          <w:numId w:val="3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исправления допущенных опечаток и ошибок в документах,                       выданных в результате предоставления муниципальной услуги - пунктами                      25-25.4 </w:t>
      </w:r>
      <w:r>
        <w:rPr>
          <w:rFonts w:ascii="PT Astra Serif" w:hAnsi="PT Astra Serif" w:cs="Times New Roman"/>
          <w:color w:val="000000"/>
          <w:sz w:val="28"/>
          <w:szCs w:val="28"/>
        </w:rPr>
        <w:t>настоящего регламента</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 иных документов, необходимых для предоставления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Основанием для начала исполнения административной процедуры является обращение заявителя в Уполномоченный орган с уведомлением                        о планируемых строительстве или реконструкции объекта или уведомлением                 об изменении параметров планируемого строительства и приложенными к нему документами, поступление в Уполномоченный орган указанного уведомления,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color w:val="000000"/>
          <w:sz w:val="28"/>
          <w:szCs w:val="28"/>
        </w:rPr>
        <w:t>Специалист Уполномоченного органа, в обязанности которого входит прием и регистрация документов:</w:t>
      </w:r>
    </w:p>
    <w:p>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w:t>
      </w:r>
      <w:r>
        <w:rPr>
          <w:rFonts w:ascii="PT Astra Serif" w:hAnsi="PT Astra Serif" w:cs="Times New Roman"/>
          <w:color w:val="000000"/>
          <w:sz w:val="28"/>
          <w:szCs w:val="28"/>
        </w:rPr>
        <w:t xml:space="preserve"> оснований для отказа в приеме документов, предусмотренных пунктом 11 раздела </w:t>
      </w:r>
      <w:r>
        <w:rPr>
          <w:rFonts w:ascii="PT Astra Serif" w:hAnsi="PT Astra Serif" w:cs="Times New Roman"/>
          <w:color w:val="000000"/>
          <w:sz w:val="28"/>
          <w:szCs w:val="28"/>
          <w:lang w:val="en-US"/>
        </w:rPr>
        <w:t>II</w:t>
      </w:r>
      <w:r>
        <w:rPr>
          <w:rFonts w:ascii="PT Astra Serif" w:hAnsi="PT Astra Serif" w:cs="Times New Roman"/>
          <w:sz w:val="28"/>
          <w:szCs w:val="28"/>
        </w:rPr>
        <w:t xml:space="preserve"> настоящего регламента</w:t>
      </w:r>
      <w:r>
        <w:rPr>
          <w:rFonts w:ascii="PT Astra Serif" w:hAnsi="PT Astra Serif" w:cs="Times New Roman"/>
          <w:color w:val="000000"/>
          <w:sz w:val="28"/>
          <w:szCs w:val="28"/>
        </w:rPr>
        <w:t xml:space="preserve">. В случае наличия таких оснований, уведомляет об этом заявителя </w:t>
      </w:r>
      <w:r>
        <w:rPr>
          <w:rFonts w:ascii="PT Astra Serif" w:hAnsi="PT Astra Serif" w:cs="Times New Roman"/>
          <w:sz w:val="28"/>
          <w:szCs w:val="28"/>
        </w:rPr>
        <w:t>в письменной                             или устной форме</w:t>
      </w:r>
      <w:r>
        <w:rPr>
          <w:rFonts w:ascii="PT Astra Serif" w:hAnsi="PT Astra Serif" w:cs="Times New Roman"/>
          <w:color w:val="000000"/>
          <w:sz w:val="28"/>
          <w:szCs w:val="28"/>
        </w:rPr>
        <w:t xml:space="preserve"> с указанием причин отказа в приеме документов, а в случае </w:t>
      </w:r>
      <w:r>
        <w:rPr>
          <w:rFonts w:ascii="PT Astra Serif" w:hAnsi="PT Astra Serif" w:cs="Times New Roman"/>
          <w:color w:val="000000"/>
          <w:sz w:val="28"/>
          <w:szCs w:val="28"/>
        </w:rPr>
        <w:lastRenderedPageBreak/>
        <w:t>отсутствия таких оснований переходит к следующему административному действию;</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заявителем по собственной инициативе представлены, документы, предусмотренные </w:t>
      </w:r>
      <w:r>
        <w:rPr>
          <w:rFonts w:ascii="PT Astra Serif" w:hAnsi="PT Astra Serif" w:cs="Times New Roman"/>
          <w:sz w:val="28"/>
          <w:szCs w:val="28"/>
        </w:rPr>
        <w:t xml:space="preserve">пунктом 10 </w:t>
      </w:r>
      <w:r>
        <w:rPr>
          <w:rFonts w:ascii="PT Astra Serif" w:hAnsi="PT Astra Serif" w:cs="Times New Roman"/>
          <w:color w:val="000000"/>
          <w:sz w:val="28"/>
          <w:szCs w:val="28"/>
        </w:rPr>
        <w:t>настоящего регламента, приобщает данные документы к комплекту документов заявителя;</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регистрирует поступление уведомления о планируемых строительстве или реконструкции объекта или уведомления об изменении параметров планируемого строительства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сообщает заявителю номер и дату регистрации уведомления                                 о планируемых строительстве или реконструкции объекта или уведомления                      об изменении параметров планируемого строительства;</w:t>
      </w:r>
    </w:p>
    <w:p>
      <w:pPr>
        <w:pStyle w:val="af"/>
        <w:numPr>
          <w:ilvl w:val="0"/>
          <w:numId w:val="36"/>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уведомление о планируемых строительстве или р</w:t>
      </w:r>
      <w:r>
        <w:rPr>
          <w:rFonts w:ascii="PT Astra Serif" w:hAnsi="PT Astra Serif"/>
          <w:spacing w:val="-20"/>
          <w:sz w:val="28"/>
          <w:szCs w:val="28"/>
        </w:rPr>
        <w:t>еконструкции</w:t>
      </w:r>
      <w:r>
        <w:rPr>
          <w:rFonts w:ascii="PT Astra Serif" w:hAnsi="PT Astra Serif"/>
          <w:sz w:val="28"/>
          <w:szCs w:val="28"/>
        </w:rPr>
        <w:t xml:space="preserve"> объекта или уведомление об изменении параметров планируемого строительства и документы специалисту Уполномоченного органа, уполномоченному на рассмотрение обращения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регистрация уведомления о планируемых строительстве или реконструкции объекта                     или уведомления об изменении параметров планируемого строительства (документов) и направление указанного уведомления (документов) специалисту Уполномоченного органа, уполномоченному на рассмотрение обращения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w:t>
      </w:r>
      <w:r>
        <w:rPr>
          <w:rFonts w:ascii="PT Astra Serif" w:hAnsi="PT Astra Serif"/>
          <w:sz w:val="28"/>
          <w:szCs w:val="28"/>
        </w:rPr>
        <w:t xml:space="preserve"> </w:t>
      </w:r>
      <w:r>
        <w:rPr>
          <w:rFonts w:ascii="PT Astra Serif" w:hAnsi="PT Astra Serif" w:cs="Times New Roman"/>
          <w:sz w:val="28"/>
          <w:szCs w:val="28"/>
        </w:rPr>
        <w:t>фиксации результата административной процедуры является указание даты регистрации и присвоение уведомлению                                      о планируемых строительстве или реконструкции объекта или уведомления                      об изменении параметров планируемого строительства заявителя регистрационного номера.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color w:val="000000"/>
          <w:sz w:val="28"/>
          <w:szCs w:val="28"/>
        </w:rPr>
        <w:t>Продолжительность административной процедуры, в том числе                       при обращении в МФЦ - не более 15 минут.</w:t>
      </w:r>
      <w:r>
        <w:rPr>
          <w:rFonts w:ascii="PT Astra Serif" w:hAnsi="PT Astra Serif" w:cs="Times New Roman"/>
          <w:sz w:val="28"/>
          <w:szCs w:val="28"/>
        </w:rPr>
        <w:t xml:space="preserve"> </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уведомления о планируемых строительстве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или реконструкции объекта, уведомления об изменении параметров планируемого строительства с приложенными к нему документами,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 и оформление результата предоставления  муниципальной услуги либо решения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 возвращении заявителю указанного уведомления и прилагаемых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к нему документов без рассмотрения с указанием причин возврата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При получении комплекта документов, указанных в пункте 22, специалист, ответственный за рассмотрение документов:</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sz w:val="28"/>
          <w:szCs w:val="28"/>
        </w:rPr>
        <w:t xml:space="preserve">проверяет наличие оснований для </w:t>
      </w:r>
      <w:r>
        <w:rPr>
          <w:rFonts w:ascii="PT Astra Serif" w:hAnsi="PT Astra Serif" w:cs="PT Astra Serif"/>
          <w:sz w:val="28"/>
          <w:szCs w:val="28"/>
        </w:rPr>
        <w:t>возвращения заявителю пакета документов без рассмотрения с указанием причин возврата;</w:t>
      </w:r>
    </w:p>
    <w:p>
      <w:pPr>
        <w:pStyle w:val="af"/>
        <w:numPr>
          <w:ilvl w:val="0"/>
          <w:numId w:val="17"/>
        </w:numPr>
        <w:tabs>
          <w:tab w:val="left" w:pos="1134"/>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в случае, если имеются основания для </w:t>
      </w:r>
      <w:r>
        <w:rPr>
          <w:rFonts w:ascii="PT Astra Serif" w:hAnsi="PT Astra Serif" w:cs="PT Astra Serif"/>
          <w:sz w:val="28"/>
          <w:szCs w:val="28"/>
        </w:rPr>
        <w:t>возвращения заявителю                        пакета документов без рассмотрения с указанием причин возврата,</w:t>
      </w:r>
      <w:r>
        <w:rPr>
          <w:rFonts w:ascii="PT Astra Serif" w:hAnsi="PT Astra Serif"/>
          <w:sz w:val="28"/>
          <w:szCs w:val="28"/>
        </w:rPr>
        <w:t xml:space="preserve"> готовит проект решения о возвращении </w:t>
      </w:r>
      <w:r>
        <w:rPr>
          <w:rFonts w:ascii="PT Astra Serif" w:hAnsi="PT Astra Serif" w:cs="PT Astra Serif"/>
          <w:sz w:val="28"/>
          <w:szCs w:val="28"/>
        </w:rPr>
        <w:t xml:space="preserve">заявителю уведомления </w:t>
      </w:r>
      <w:r>
        <w:rPr>
          <w:rFonts w:ascii="PT Astra Serif" w:eastAsiaTheme="minorHAnsi" w:hAnsi="PT Astra Serif"/>
          <w:sz w:val="28"/>
          <w:szCs w:val="28"/>
          <w:lang w:eastAsia="en-US"/>
        </w:rPr>
        <w:t xml:space="preserve">о </w:t>
      </w:r>
      <w:r>
        <w:rPr>
          <w:rFonts w:ascii="PT Astra Serif" w:hAnsi="PT Astra Serif"/>
          <w:sz w:val="28"/>
          <w:szCs w:val="28"/>
        </w:rPr>
        <w:t>планируемых строительстве или реконструкции объекта, уведомления об изменении параметров планируемого строительства</w:t>
      </w:r>
      <w:r>
        <w:rPr>
          <w:rFonts w:ascii="PT Astra Serif" w:hAnsi="PT Astra Serif" w:cs="PT Astra Serif"/>
          <w:sz w:val="28"/>
          <w:szCs w:val="28"/>
        </w:rPr>
        <w:t xml:space="preserve"> и прилагаемых к нему документов                  без рассмотрения с указанием причин возврата</w:t>
      </w:r>
      <w:r>
        <w:rPr>
          <w:rFonts w:ascii="PT Astra Serif" w:hAnsi="PT Astra Serif" w:cs="Times New Roman"/>
          <w:sz w:val="28"/>
          <w:szCs w:val="28"/>
        </w:rPr>
        <w:t xml:space="preserve"> и передает указанный проект                 на рассмотрение должностному лицу Уполномоченного органа, имеющему полномочия на принятие такого решения, а также решения  о предоставлении муниципальной услуги (далее – уполномоченное лицо).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Основаниями для возвращения без рассмотрения уведомления                         о планируемых строительстве или реконструкции объекта, уведомления                          об изменении параметров планируемого строительства являются: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непредставление документов, предусмотренных подпунктами 2-4 пункта 9.4 настоящего регламента;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отсутствие в уведомлении о планируемых строительстве или реконструкции объекта, уведомления об изменении параметров планируемого строительства сведений, предусмотренных </w:t>
      </w:r>
      <w:hyperlink r:id="rId24" w:history="1">
        <w:r>
          <w:rPr>
            <w:rFonts w:ascii="PT Astra Serif" w:hAnsi="PT Astra Serif"/>
            <w:sz w:val="28"/>
            <w:szCs w:val="28"/>
          </w:rPr>
          <w:t>частью 1</w:t>
        </w:r>
      </w:hyperlink>
      <w:r>
        <w:rPr>
          <w:rFonts w:ascii="PT Astra Serif" w:hAnsi="PT Astra Serif"/>
          <w:sz w:val="28"/>
          <w:szCs w:val="28"/>
        </w:rPr>
        <w:t xml:space="preserve"> статьи 51.1 ГрК РФ.</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поступлении уведомления о планируемых строительстве                       или реконструкции объекта, уведомления об изменении параметров планируемого строительства и при отсутствии оснований для возвращения заявителю уведомления об окончании строительства и прилагаемых к нему документов без рассмотрения с указанием причин возврата специалист, ответственный за рассмотрение документов:</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заявитель не представил документы, предусмотренные пунктом 10 настоящего регламента, в соответствии с Порядком межведомственного информационного взаимодействия при предоставлении государственных услуг, утверждённым постановлением Правительства автономного округа от 15 марта 2012 года № 183-П,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проводит проверку соответствия указанных в уведомлении                               о планируемых строительстве или реконструкции объекта, уведомлении                         об изменении параметров планируемого строительства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w:t>
      </w:r>
      <w:r>
        <w:rPr>
          <w:rFonts w:ascii="PT Astra Serif" w:hAnsi="PT Astra Serif"/>
          <w:sz w:val="28"/>
          <w:szCs w:val="28"/>
        </w:rPr>
        <w:lastRenderedPageBreak/>
        <w:t>установленным ГрК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готовит проект уведомления о соответствии объекта ИЖС                            или садового дома либо проект уведомления о несоответствии объекта ИЖС или садового дома.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поступлении уведомления о планируемых строительстве                    или реконструкции объекта, уведомления об изменении параметров планируемого строительства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при отсутствии оснований для возвращения указанного уведомления заявителю и прилагаемых к нему документов без рассмотрения с указанием причин возврата, специалист, ответственный за рассмотрение документов:</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заявитель не представил документы, предусмотренные пунктом 10 настоящего регламента, в соответствии с Порядком межведомственного информационного взаимодействия при предоставлении государственных услуг, утверждённым постановлением Правительства автономного округа от 15 марта 2012 года № 183-П,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проводит проверку соответствия указанных в уведомлении                            о планируемом строительстве или реконструкции объекта,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ГрК РФ,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в срок не более чем три рабочих дня со дня поступления уведомления о планируемых строительстве или реконструкции объекта, уведомления                        об изменении параметров планируемого строительства направляет указанное уведомление и приложенное к нему описание внешнего облика объекта индивидуального жилищного строительства или садового дома,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Службу государственной охраны объектов культурного наследия автономного округа;</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после получения из Службы государственной охраны                          объектов культурного наследия автономного округа,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уведомления о соответствии или несоответствии указанного в подпункте 3 настоящего пункта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готовит проект уведомления о соответствии объекта ИЖС или садового дома,                             либо проект уведомления о несоответствии объекта ИЖС или садового дома.</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не направления в срок установленный частью 9 статьи 51.1                     ГрК РФ Службой государственной охраны объектов культурного наследия автономного округа в Уполномоченный орган уведомления о несоответствии указанного в подпункте 3 настоящего пункта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Уведомление о несоответствии объекта ИЖС или садового дома направляется заявителю только в случае, если:</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указанные в уведомлении о планируемых строительстве или реконструкции объекта, уведомлении об изменении параметров планируемого строительства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ГрК РФ, другими </w:t>
      </w:r>
      <w:r>
        <w:rPr>
          <w:rFonts w:ascii="PT Astra Serif" w:hAnsi="PT Astra Serif"/>
          <w:sz w:val="28"/>
          <w:szCs w:val="28"/>
        </w:rPr>
        <w:lastRenderedPageBreak/>
        <w:t>федеральными законами и действующим на дату поступления указанного уведомления;</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размещение указанных в уведомлении о планируемых строительстве или реконструкции объекта, уведомлении об изменении параметров планируемого строительства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указанного уведомления;</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уведомление о планируемых строительстве или реконструкции объекта, уведомление об изменении параметров планируемого строительства подано или направлено лицом, не являющимся застройщиком в связи                                с отсутствием у него прав на земельный участок;</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срок, указанный в </w:t>
      </w:r>
      <w:hyperlink r:id="rId25" w:history="1">
        <w:r>
          <w:rPr>
            <w:rFonts w:ascii="PT Astra Serif" w:hAnsi="PT Astra Serif"/>
            <w:sz w:val="28"/>
            <w:szCs w:val="28"/>
          </w:rPr>
          <w:t>части 9</w:t>
        </w:r>
      </w:hyperlink>
      <w:r>
        <w:rPr>
          <w:rFonts w:ascii="PT Astra Serif" w:hAnsi="PT Astra Serif"/>
          <w:sz w:val="28"/>
          <w:szCs w:val="28"/>
        </w:rPr>
        <w:t xml:space="preserve"> статьи 51.1 ГрК РФ, от Службы государственной охраны объектов культурного наследия автономного округа,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направления застройщику уведомления о несоответствии объекта ИЖС или садового дома установленным параметрам                                         по основаниям, предусмотренным подпунктом 4 пункта 22.5 настоящего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Проект уведомления о соответствии (несоответствии) объекта ИЖС или садового дома (далее-проект решения о предоставлении муниципальной услуги) специалист, ответственный за рассмотрение документов, готовит                          в двух экземплярах и передает указанный проект на рассмотрение уполномоченному лицу.</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Уполномоченное лицо рассматривает проект решения                                          о предоставлении  муниципальной услуги, о возвращении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и в случае соответствия указанного проекта требованиям, </w:t>
      </w:r>
      <w:r>
        <w:rPr>
          <w:rFonts w:ascii="PT Astra Serif" w:hAnsi="PT Astra Serif" w:cs="Times New Roman"/>
          <w:sz w:val="28"/>
          <w:szCs w:val="28"/>
        </w:rPr>
        <w:lastRenderedPageBreak/>
        <w:t xml:space="preserve">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рассмотрение документов, для </w:t>
      </w:r>
      <w:r>
        <w:rPr>
          <w:rFonts w:ascii="PT Astra Serif" w:hAnsi="PT Astra Serif" w:cs="Times New Roman"/>
          <w:spacing w:val="-20"/>
          <w:sz w:val="28"/>
          <w:szCs w:val="28"/>
        </w:rPr>
        <w:t xml:space="preserve">дальнейшего </w:t>
      </w:r>
      <w:r>
        <w:rPr>
          <w:rFonts w:ascii="PT Astra Serif" w:hAnsi="PT Astra Serif" w:cs="Times New Roman"/>
          <w:sz w:val="28"/>
          <w:szCs w:val="28"/>
        </w:rPr>
        <w:t xml:space="preserve">оформления.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Специалист, ответственный за рассмотрение документов:</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оформляет решение о предоставлении муниципальной услуги                           в соответствии с установленными требованиями делопроизводства;</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передает принятое решение о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оформляет решение о возвращении заявителю уведомления                                 о планируемых строительстве, реконструкции объекта, уведомление                                об изменении параметров планируемого строительства и прилагаемых к нему документов без рассмотрения с указанием причин возврата в соответствии                       с установленными требованиями делопроизводства;</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передает принятое решение о возвращения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специалисту, ответственному за выдачу результата предоставления муниципальной услуги заявителю.</w:t>
      </w:r>
    </w:p>
    <w:p>
      <w:pPr>
        <w:pStyle w:val="af"/>
        <w:numPr>
          <w:ilvl w:val="1"/>
          <w:numId w:val="5"/>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К</w:t>
      </w:r>
      <w:r>
        <w:rPr>
          <w:rFonts w:ascii="PT Astra Serif" w:hAnsi="PT Astra Serif" w:cs="Times New Roman"/>
          <w:sz w:val="28"/>
          <w:szCs w:val="28"/>
        </w:rPr>
        <w:t>рите</w:t>
      </w:r>
      <w:r>
        <w:rPr>
          <w:rFonts w:ascii="PT Astra Serif" w:hAnsi="PT Astra Serif" w:cs="Times New Roman"/>
          <w:spacing w:val="-20"/>
          <w:sz w:val="28"/>
          <w:szCs w:val="28"/>
        </w:rPr>
        <w:t>р</w:t>
      </w:r>
      <w:r>
        <w:rPr>
          <w:rFonts w:ascii="PT Astra Serif" w:hAnsi="PT Astra Serif" w:cs="Times New Roman"/>
          <w:sz w:val="28"/>
          <w:szCs w:val="28"/>
        </w:rPr>
        <w:t>ие</w:t>
      </w:r>
      <w:r>
        <w:rPr>
          <w:rFonts w:ascii="PT Astra Serif" w:hAnsi="PT Astra Serif" w:cs="Times New Roman"/>
          <w:spacing w:val="-20"/>
          <w:sz w:val="28"/>
          <w:szCs w:val="28"/>
        </w:rPr>
        <w:t>м</w:t>
      </w:r>
      <w:r>
        <w:rPr>
          <w:rFonts w:ascii="PT Astra Serif" w:hAnsi="PT Astra Serif" w:cs="Times New Roman"/>
          <w:sz w:val="28"/>
          <w:szCs w:val="28"/>
        </w:rPr>
        <w:t xml:space="preserve"> принятия решения при выполнении административной процедуры является наличие или отсутствие оснований для возвращения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подписание уполномоченным лицом уведомления о соответствии объекта ИЖС                                 или уведомления о несоответствии объекта ИЖС или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присвоение регистрационного номера уведомлению о соответствии объекта ИЖС или садового дома или уведомлению о несоответствии объекта ИЖС или садового дома или решению о возвращении заявителю уведомления                  о планируемых строительстве или реконструкции объекта, уведомлению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за иск</w:t>
      </w:r>
      <w:r>
        <w:rPr>
          <w:rFonts w:ascii="PT Astra Serif" w:hAnsi="PT Astra Serif" w:cs="Times New Roman"/>
          <w:spacing w:val="-20"/>
          <w:sz w:val="28"/>
          <w:szCs w:val="28"/>
        </w:rPr>
        <w:t>л</w:t>
      </w:r>
      <w:r>
        <w:rPr>
          <w:rFonts w:ascii="PT Astra Serif" w:hAnsi="PT Astra Serif" w:cs="Times New Roman"/>
          <w:sz w:val="28"/>
          <w:szCs w:val="28"/>
        </w:rPr>
        <w:t>юче</w:t>
      </w:r>
      <w:r>
        <w:rPr>
          <w:rFonts w:ascii="PT Astra Serif" w:hAnsi="PT Astra Serif" w:cs="Times New Roman"/>
          <w:spacing w:val="-20"/>
          <w:sz w:val="28"/>
          <w:szCs w:val="28"/>
        </w:rPr>
        <w:t>нием</w:t>
      </w:r>
      <w:r>
        <w:rPr>
          <w:rFonts w:ascii="PT Astra Serif" w:hAnsi="PT Astra Serif" w:cs="Times New Roman"/>
          <w:sz w:val="28"/>
          <w:szCs w:val="28"/>
        </w:rPr>
        <w:t xml:space="preserve"> случаев, предусмотренных пунктами 22.1, 22.4, настоящего регламента, -                      </w:t>
      </w:r>
      <w:r>
        <w:rPr>
          <w:rFonts w:ascii="PT Astra Serif" w:hAnsi="PT Astra Serif" w:cs="Times New Roman"/>
          <w:sz w:val="28"/>
          <w:szCs w:val="28"/>
        </w:rPr>
        <w:lastRenderedPageBreak/>
        <w:t>не более 5 рабочих дней, в случае предусмотренном пунктом 22.4 настоящего регламента - не более 18 дней, в случае предусмотренном пунктом 22.1, -                       не более 2 рабочих дней со дня регистрации уведомлении о планируемых строительстве или реконструкции объекта или уведомления об изменении параметров планируемого строительства с приложенными документами.</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Выдача (направление) результата предоставления муниципальной услуги либо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выдачи (направления) результата предоставления муниципальной услуги является подписание уполномоченным лицом уведомления о соответствии объекта ИЖС или уведомления о несоответствии объекта ИЖС,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(далее - решение о возвращении заявителю пакета документов без рассмотрения с указанием причин возврата)          и поступление указанного уведомления или решения специалисту, ответственному за выдачу результата предоставления муниципальной услуги или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Решение о предоставлении муниципальной услуги, решение                     о возвращении заявителю пакета документов без рассмотрения с указанием причин возврата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Решение о предоставлении муниципальной услуги, решение            о возвращении заявителю пакета документов без рассмотрения с указанием причин возврата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вручает лично заявителю под подпись;</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почтовым отправлением по адресу, указанному заявителем;</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если иной порядок выдачи документа не определен заявителем                    при подаче уведомления.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Один экземпляр решения о предоставлении муниципальной услуги и документы, предоставленные заявителем, остаются на хранении                                       в Уполномоченном органе.</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Один экземпляр решения о возвращении заявителю пакета документов без рассмотрения с указанием причин возврата остаются на хранении                                       в Уполномоченном органе. </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муниципальной услуги,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документированное подтверждение направления (вручения) заявителю решения о предоставлении муниципальной услуги,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1 рабочего дня.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1 рабочего дня  со дня принятия решения о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Порядок осуществления в электронной форме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и (или) Регионального портала, официального сайта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Уполномоченного органа</w:t>
      </w:r>
    </w:p>
    <w:p>
      <w:pPr>
        <w:spacing w:after="0" w:line="240" w:lineRule="auto"/>
        <w:jc w:val="center"/>
        <w:rPr>
          <w:rFonts w:ascii="PT Astra Serif" w:hAnsi="PT Astra Serif" w:cs="Times New Roman"/>
          <w:b/>
          <w:bCs/>
          <w:color w:val="000000"/>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запись на прием в орган (организацию) для подачи запроса                                о предоставлении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о порядке и сроках предоставления услуги,                    в том числе в электронной форме, осуществляется заявителями на Едином портале и/или Региональном портале, а также иными способами, указанными                 в пункте 3 настоящего регламента.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Уполномоченным органом осуществляется прием заявителей по предварительной записи;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запись на прием проводится посредством Единого портала                              (с момента реализации технической возможности);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lastRenderedPageBreak/>
        <w:t>При формировании запроса заявителю обеспечивается:</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 и иных документов, указ</w:t>
      </w:r>
      <w:r>
        <w:rPr>
          <w:rFonts w:ascii="PT Astra Serif" w:hAnsi="PT Astra Serif" w:cs="Times New Roman"/>
          <w:spacing w:val="-20"/>
          <w:sz w:val="28"/>
          <w:szCs w:val="28"/>
        </w:rPr>
        <w:t>анных в пу</w:t>
      </w:r>
      <w:r>
        <w:rPr>
          <w:rFonts w:ascii="PT Astra Serif" w:hAnsi="PT Astra Serif" w:cs="Times New Roman"/>
          <w:sz w:val="28"/>
          <w:szCs w:val="28"/>
        </w:rPr>
        <w:t>нк</w:t>
      </w:r>
      <w:r>
        <w:rPr>
          <w:rFonts w:ascii="PT Astra Serif" w:hAnsi="PT Astra Serif" w:cs="Times New Roman"/>
          <w:spacing w:val="-20"/>
          <w:sz w:val="28"/>
          <w:szCs w:val="28"/>
        </w:rPr>
        <w:t>те</w:t>
      </w:r>
      <w:r>
        <w:rPr>
          <w:rFonts w:ascii="PT Astra Serif" w:hAnsi="PT Astra Serif" w:cs="Times New Roman"/>
          <w:sz w:val="28"/>
          <w:szCs w:val="28"/>
        </w:rPr>
        <w:t xml:space="preserve"> 9.4 настоящего регламента, необходимых для предоставления муниципальной услуги;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w:t>
      </w:r>
      <w:r>
        <w:rPr>
          <w:rFonts w:ascii="PT Astra Serif" w:hAnsi="PT Astra Serif" w:cs="Times New Roman"/>
          <w:spacing w:val="-20"/>
          <w:sz w:val="28"/>
          <w:szCs w:val="28"/>
        </w:rPr>
        <w:t>редполагающим</w:t>
      </w:r>
      <w:r>
        <w:rPr>
          <w:rFonts w:ascii="PT Astra Serif" w:hAnsi="PT Astra Serif" w:cs="Times New Roman"/>
          <w:sz w:val="28"/>
          <w:szCs w:val="28"/>
        </w:rPr>
        <w:t>и направление совместного запроса несколькими заявителями (описывается                       в случае необходимости дополнительно);</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пункте 9.4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пунктах 11-11.2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0"/>
          <w:numId w:val="14"/>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качестве результата предоставления муниципальной услуги заявитель по его выбору вправе получить </w:t>
      </w:r>
      <w:r>
        <w:rPr>
          <w:rFonts w:ascii="PT Astra Serif" w:hAnsi="PT Astra Serif" w:cs="Times New Roman"/>
          <w:color w:val="000000"/>
          <w:sz w:val="28"/>
          <w:szCs w:val="28"/>
        </w:rPr>
        <w:t xml:space="preserve">уведомление </w:t>
      </w:r>
      <w:r>
        <w:rPr>
          <w:rFonts w:ascii="PT Astra Serif" w:hAnsi="PT Astra Serif" w:cs="Times New Roman"/>
          <w:bCs/>
          <w:sz w:val="28"/>
          <w:szCs w:val="28"/>
        </w:rPr>
        <w:t>о соответствии (несоответствии) объекта ИЖС или садового дома</w:t>
      </w:r>
      <w:r>
        <w:rPr>
          <w:rFonts w:ascii="PT Astra Serif" w:hAnsi="PT Astra Serif"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0"/>
          <w:numId w:val="14"/>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tabs>
          <w:tab w:val="left" w:pos="1701"/>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 (описывается в случае необходимости дополнительно);</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с момента реализации технической возможности.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С</w:t>
      </w:r>
      <w:r>
        <w:rPr>
          <w:rFonts w:ascii="PT Astra Serif" w:hAnsi="PT Astra Serif" w:cs="Times New Roman"/>
          <w:color w:val="000000"/>
          <w:sz w:val="28"/>
          <w:szCs w:val="28"/>
        </w:rPr>
        <w:t>пец</w:t>
      </w:r>
      <w:r>
        <w:rPr>
          <w:rFonts w:ascii="PT Astra Serif" w:hAnsi="PT Astra Serif" w:cs="Times New Roman"/>
          <w:color w:val="000000"/>
          <w:spacing w:val="-20"/>
          <w:sz w:val="28"/>
          <w:szCs w:val="28"/>
        </w:rPr>
        <w:t>и</w:t>
      </w:r>
      <w:r>
        <w:rPr>
          <w:rFonts w:ascii="PT Astra Serif" w:hAnsi="PT Astra Serif" w:cs="Times New Roman"/>
          <w:color w:val="000000"/>
          <w:sz w:val="28"/>
          <w:szCs w:val="28"/>
        </w:rPr>
        <w:t>ал</w:t>
      </w:r>
      <w:r>
        <w:rPr>
          <w:rFonts w:ascii="PT Astra Serif" w:hAnsi="PT Astra Serif" w:cs="Times New Roman"/>
          <w:color w:val="000000"/>
          <w:spacing w:val="-20"/>
          <w:sz w:val="28"/>
          <w:szCs w:val="28"/>
        </w:rPr>
        <w:t>ист</w:t>
      </w:r>
      <w:r>
        <w:rPr>
          <w:rFonts w:ascii="PT Astra Serif" w:hAnsi="PT Astra Serif" w:cs="Times New Roman"/>
          <w:spacing w:val="-20"/>
          <w:sz w:val="28"/>
          <w:szCs w:val="28"/>
        </w:rPr>
        <w:t xml:space="preserve"> У</w:t>
      </w:r>
      <w:r>
        <w:rPr>
          <w:rFonts w:ascii="PT Astra Serif" w:hAnsi="PT Astra Serif" w:cs="Times New Roman"/>
          <w:sz w:val="28"/>
          <w:szCs w:val="28"/>
        </w:rPr>
        <w:t>пол</w:t>
      </w:r>
      <w:r>
        <w:rPr>
          <w:rFonts w:ascii="PT Astra Serif" w:hAnsi="PT Astra Serif" w:cs="Times New Roman"/>
          <w:spacing w:val="-20"/>
          <w:sz w:val="28"/>
          <w:szCs w:val="28"/>
        </w:rPr>
        <w:t>но</w:t>
      </w:r>
      <w:r>
        <w:rPr>
          <w:rFonts w:ascii="PT Astra Serif" w:hAnsi="PT Astra Serif" w:cs="Times New Roman"/>
          <w:sz w:val="28"/>
          <w:szCs w:val="28"/>
        </w:rPr>
        <w:t>моч</w:t>
      </w:r>
      <w:r>
        <w:rPr>
          <w:rFonts w:ascii="PT Astra Serif" w:hAnsi="PT Astra Serif" w:cs="Times New Roman"/>
          <w:spacing w:val="-20"/>
          <w:sz w:val="28"/>
          <w:szCs w:val="28"/>
        </w:rPr>
        <w:t>енного</w:t>
      </w:r>
      <w:r>
        <w:rPr>
          <w:rFonts w:ascii="PT Astra Serif" w:hAnsi="PT Astra Serif" w:cs="Times New Roman"/>
          <w:sz w:val="28"/>
          <w:szCs w:val="28"/>
        </w:rPr>
        <w:t xml:space="preserve">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В случае отсутствия опечаток и (или) ошибок в документах, выданных в результате предоставления муниципальной услуги,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27"/>
        </w:numPr>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w:t>
      </w:r>
    </w:p>
    <w:p>
      <w:pPr>
        <w:pStyle w:val="af"/>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процедур (действий) в МФЦ</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Р</w:t>
      </w:r>
      <w:r>
        <w:rPr>
          <w:rFonts w:ascii="PT Astra Serif" w:hAnsi="PT Astra Serif" w:cs="Times New Roman"/>
          <w:sz w:val="28"/>
          <w:szCs w:val="28"/>
        </w:rPr>
        <w:t>аб</w:t>
      </w:r>
      <w:r>
        <w:rPr>
          <w:rFonts w:ascii="PT Astra Serif" w:hAnsi="PT Astra Serif" w:cs="Times New Roman"/>
          <w:spacing w:val="-20"/>
          <w:sz w:val="28"/>
          <w:szCs w:val="28"/>
        </w:rPr>
        <w:t>о</w:t>
      </w:r>
      <w:r>
        <w:rPr>
          <w:rFonts w:ascii="PT Astra Serif" w:hAnsi="PT Astra Serif" w:cs="Times New Roman"/>
          <w:sz w:val="28"/>
          <w:szCs w:val="28"/>
        </w:rPr>
        <w:t>тн</w:t>
      </w:r>
      <w:r>
        <w:rPr>
          <w:rFonts w:ascii="PT Astra Serif" w:hAnsi="PT Astra Serif" w:cs="Times New Roman"/>
          <w:spacing w:val="-20"/>
          <w:sz w:val="28"/>
          <w:szCs w:val="28"/>
        </w:rPr>
        <w:t>ик МФЦ</w:t>
      </w:r>
      <w:r>
        <w:rPr>
          <w:rFonts w:ascii="PT Astra Serif" w:hAnsi="PT Astra Serif" w:cs="Times New Roman"/>
          <w:sz w:val="28"/>
          <w:szCs w:val="28"/>
        </w:rPr>
        <w:t>, осуществляющий прием заявителей и необходимых документов, указанных в пунктах 9.3, 9.4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Проверка содержания прилагаемых к заявлению документов                                 на предмет их соответствия действующему законодательству или наличия </w:t>
      </w:r>
      <w:r>
        <w:rPr>
          <w:rFonts w:ascii="PT Astra Serif" w:hAnsi="PT Astra Serif" w:cs="Times New Roman"/>
          <w:sz w:val="28"/>
          <w:szCs w:val="28"/>
        </w:rPr>
        <w:lastRenderedPageBreak/>
        <w:t>орфографических, или фактических ошибок, в обязанности работников                       МФЦ не входит.</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 xml:space="preserve"> 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осуществляют Глава муниципального округа, руководитель структурного подразделения, предоставляющего муниципальную услугу в соответствии                     </w:t>
      </w:r>
      <w:r>
        <w:rPr>
          <w:rFonts w:ascii="PT Astra Serif" w:hAnsi="PT Astra Serif" w:cs="Times New Roman"/>
          <w:sz w:val="28"/>
          <w:szCs w:val="28"/>
        </w:rPr>
        <w:lastRenderedPageBreak/>
        <w:t>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pStyle w:val="af"/>
        <w:tabs>
          <w:tab w:val="left" w:pos="1276"/>
        </w:tabs>
        <w:autoSpaceDE w:val="0"/>
        <w:autoSpaceDN w:val="0"/>
        <w:adjustRightInd w:val="0"/>
        <w:spacing w:after="0" w:line="240" w:lineRule="auto"/>
        <w:ind w:left="0"/>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 действия (бездействие), принимаемые (осуществляемые)</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Должностные лица, муниципальные служащие Уполномоченного органа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pPr>
        <w:pStyle w:val="af"/>
        <w:tabs>
          <w:tab w:val="left" w:pos="1276"/>
        </w:tabs>
        <w:autoSpaceDE w:val="0"/>
        <w:autoSpaceDN w:val="0"/>
        <w:adjustRightInd w:val="0"/>
        <w:spacing w:after="0" w:line="240" w:lineRule="auto"/>
        <w:ind w:left="709"/>
        <w:jc w:val="both"/>
        <w:rPr>
          <w:rFonts w:ascii="PT Astra Serif" w:hAnsi="PT Astra Serif" w:cs="Times New Roman"/>
          <w:sz w:val="28"/>
          <w:szCs w:val="28"/>
        </w:rPr>
      </w:pPr>
    </w:p>
    <w:p>
      <w:pPr>
        <w:pStyle w:val="af"/>
        <w:tabs>
          <w:tab w:val="left" w:pos="1276"/>
        </w:tabs>
        <w:autoSpaceDE w:val="0"/>
        <w:autoSpaceDN w:val="0"/>
        <w:adjustRightInd w:val="0"/>
        <w:spacing w:after="0" w:line="240" w:lineRule="auto"/>
        <w:ind w:left="709"/>
        <w:jc w:val="both"/>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Положения, характеризующие требования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af"/>
        <w:autoSpaceDE w:val="0"/>
        <w:autoSpaceDN w:val="0"/>
        <w:adjustRightInd w:val="0"/>
        <w:spacing w:after="0" w:line="240" w:lineRule="auto"/>
        <w:ind w:left="0"/>
        <w:jc w:val="center"/>
        <w:rPr>
          <w:rFonts w:ascii="PT Astra Serif" w:hAnsi="PT Astra Serif"/>
          <w:b/>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 и действий (бездействия) Уполномоченного органа, МФЦ,</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может обратиться с жалобой, в том числе в следующих случаях:</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или порядка выдачи документов по результатам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случаях, предусмотренных подпунктами 2, 5, 7, 9 пункта 37.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w:t>
      </w:r>
      <w:r>
        <w:rPr>
          <w:rFonts w:ascii="PT Astra Serif" w:hAnsi="PT Astra Serif"/>
          <w:sz w:val="28"/>
          <w:szCs w:val="28"/>
          <w:lang w:val="en-US"/>
        </w:rPr>
        <w:t xml:space="preserve">                                   </w:t>
      </w:r>
      <w:r>
        <w:rPr>
          <w:rFonts w:ascii="PT Astra Serif" w:hAnsi="PT Astra Serif"/>
          <w:sz w:val="28"/>
          <w:szCs w:val="28"/>
        </w:rPr>
        <w:t>16 Федерального закона № 210-ФЗ.</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                              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руководителя Уполномоченного органа, рассматриваются непосредственно руководителем Уполномоченного органа).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руководителя МФЦ подаются учредителю МФЦ.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w:t>
      </w:r>
      <w:r>
        <w:rPr>
          <w:rFonts w:ascii="PT Astra Serif" w:hAnsi="PT Astra Serif"/>
          <w:spacing w:val="-20"/>
          <w:sz w:val="28"/>
          <w:szCs w:val="28"/>
        </w:rPr>
        <w:t>полномоченного</w:t>
      </w:r>
      <w:r>
        <w:rPr>
          <w:rFonts w:ascii="PT Astra Serif" w:hAnsi="PT Astra Serif"/>
          <w:sz w:val="28"/>
          <w:szCs w:val="28"/>
        </w:rPr>
        <w:t xml:space="preserve">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должна содержать:</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45 настоящего регламента);</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Жалоба, </w:t>
      </w:r>
      <w:r>
        <w:rPr>
          <w:rFonts w:ascii="PT Astra Serif" w:hAnsi="PT Astra Serif"/>
          <w:spacing w:val="-20"/>
          <w:sz w:val="28"/>
          <w:szCs w:val="28"/>
        </w:rPr>
        <w:t>содержащая неточное</w:t>
      </w:r>
      <w:r>
        <w:rPr>
          <w:rFonts w:ascii="PT Astra Serif" w:hAnsi="PT Astra Serif"/>
          <w:sz w:val="28"/>
          <w:szCs w:val="28"/>
        </w:rPr>
        <w:t xml:space="preserve">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копия решения о назначении или об избрании либо приказа                               о назначении физического лица на должность, в соответствии с которым                 </w:t>
      </w:r>
      <w:r>
        <w:rPr>
          <w:rFonts w:ascii="PT Astra Serif" w:hAnsi="PT Astra Serif"/>
          <w:sz w:val="28"/>
          <w:szCs w:val="28"/>
        </w:rPr>
        <w:lastRenderedPageBreak/>
        <w:t>такое физическое лицо обладает правом действовать от имени заявителя                    без доверенности.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Единого портала (за исключением жалоб на решения и действия (бездействие) МФЦ и их работников);</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bookmarkStart w:id="1" w:name="Par26"/>
      <w:bookmarkEnd w:id="1"/>
      <w:r>
        <w:rPr>
          <w:rFonts w:ascii="PT Astra Serif" w:hAnsi="PT Astra Serif"/>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 подаче жалобы в электронной форме документы, указанные                  в пункте 43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bookmarkStart w:id="2" w:name="Par30"/>
      <w:bookmarkEnd w:id="2"/>
      <w:r>
        <w:rPr>
          <w:rFonts w:ascii="PT Astra Serif" w:hAnsi="PT Astra Serif"/>
          <w:sz w:val="28"/>
          <w:szCs w:val="28"/>
        </w:rPr>
        <w:t xml:space="preserve">Жалоба рассматривается: </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руководителем МФЦ в случае обжалования решений и действий (бездействия) работников МФЦ;</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учредителем МФЦ в случае обжалования решений и действий (бездействия) руководителя МФЦ.</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В случае если жалоба подана заявителем в орган, в компетенцию которого не входит принятие решения по жалобе в соответствии                                        с требованиями пункта 47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прием и рассмотрение жалоб в соответствии с требованиями настоящего раздела;</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направление жалоб в уполномоченный на их рассмотрение орган                      в соответствии с пунктом 48 настоящего регламента.</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и МФЦ обеспечивают:</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оснащение мест приема жалоб;</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bookmarkStart w:id="3" w:name="Par13"/>
      <w:bookmarkStart w:id="4" w:name="Par35"/>
      <w:bookmarkEnd w:id="3"/>
      <w:bookmarkEnd w:id="4"/>
      <w:r>
        <w:rPr>
          <w:rFonts w:ascii="PT Astra Serif" w:hAnsi="PT Astra Serif"/>
          <w:sz w:val="28"/>
          <w:szCs w:val="28"/>
        </w:rPr>
        <w:t xml:space="preserve">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45 настоящего регламента, ответ заявителю направляется посредством системы досудебного обжалования.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w:t>
      </w:r>
      <w:r>
        <w:rPr>
          <w:rFonts w:ascii="PT Astra Serif" w:hAnsi="PT Astra Serif"/>
          <w:sz w:val="28"/>
          <w:szCs w:val="28"/>
        </w:rPr>
        <w:lastRenderedPageBreak/>
        <w:t>о дальнейших действиях, которые необходимо совершить заявителю в целях получения муниципальной услуги.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ответе по результатам рассмотрения жалобы указываются: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наименование Уполномоченного органа, МФЦ, учредителя МФЦ, рассмотревшего жалобу, должность, фамилия, имя, отчество (последнее -                  при наличии) лица, принявшего решение по жалобе;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фамилия, имя, отчество (последнее - при наличии) или наименование заявителя;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основания для принятия решения по жалобе;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принятое по жалобе решение;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сведения о порядке обжалования принятого по жалобе решения.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или МФЦ отказывает в удовлетворении жалобы в следующих случаях:</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МФЦ, учредитель МФЦ, уполномоченные                 на рассмотрение жалобы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МФЦ, учредитель МФЦ, уполномоченные                на рассмотрение жалобы оставляет жалобу без ответа в следующих случаях:</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имеет право:</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получать информацию и документы, необходимые для обоснования                    и рассмотрения жалобы;</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sectPr>
      <w:headerReference w:type="default" r:id="rId26"/>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szCs w:val="24"/>
      </w:rPr>
    </w:sdtEndPr>
    <w:sdtContent>
      <w:p>
        <w:pPr>
          <w:pStyle w:val="a6"/>
          <w:jc w:val="center"/>
          <w:rPr>
            <w:rFonts w:ascii="PT Astra Serif" w:hAnsi="PT Astra Serif" w:cs="Times New Roman"/>
            <w:noProof/>
            <w:sz w:val="24"/>
            <w:szCs w:val="24"/>
          </w:rPr>
        </w:pPr>
        <w:r>
          <w:rPr>
            <w:rFonts w:ascii="PT Astra Serif" w:hAnsi="PT Astra Serif" w:cs="Times New Roman"/>
            <w:sz w:val="24"/>
            <w:szCs w:val="24"/>
          </w:rPr>
          <w:fldChar w:fldCharType="begin"/>
        </w:r>
        <w:r>
          <w:rPr>
            <w:rFonts w:ascii="PT Astra Serif" w:hAnsi="PT Astra Serif" w:cs="Times New Roman"/>
            <w:sz w:val="24"/>
            <w:szCs w:val="24"/>
          </w:rPr>
          <w:instrText xml:space="preserve"> PAGE   \* MERGEFORMAT </w:instrText>
        </w:r>
        <w:r>
          <w:rPr>
            <w:rFonts w:ascii="PT Astra Serif" w:hAnsi="PT Astra Serif" w:cs="Times New Roman"/>
            <w:sz w:val="24"/>
            <w:szCs w:val="24"/>
          </w:rPr>
          <w:fldChar w:fldCharType="separate"/>
        </w:r>
        <w:r>
          <w:rPr>
            <w:rFonts w:ascii="PT Astra Serif" w:hAnsi="PT Astra Serif" w:cs="Times New Roman"/>
            <w:noProof/>
            <w:sz w:val="24"/>
            <w:szCs w:val="24"/>
          </w:rPr>
          <w:t>3</w:t>
        </w:r>
        <w:r>
          <w:rPr>
            <w:rFonts w:ascii="PT Astra Serif" w:hAnsi="PT Astra Serif" w:cs="Times New Roman"/>
            <w:noProof/>
            <w:sz w:val="24"/>
            <w:szCs w:val="24"/>
          </w:rPr>
          <w:fldChar w:fldCharType="end"/>
        </w:r>
      </w:p>
      <w:p>
        <w:pPr>
          <w:pStyle w:val="a6"/>
          <w:jc w:val="center"/>
          <w:rPr>
            <w:rFonts w:ascii="PT Astra Serif" w:hAnsi="PT Astra Serif"/>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7437" w:hanging="360"/>
      </w:pPr>
      <w:rPr>
        <w:rFonts w:eastAsiaTheme="minorHAnsi" w:cstheme="minorBidi" w:hint="default"/>
      </w:rPr>
    </w:lvl>
    <w:lvl w:ilvl="1">
      <w:start w:val="1"/>
      <w:numFmt w:val="decimal"/>
      <w:lvlText w:val="%1.%2."/>
      <w:lvlJc w:val="left"/>
      <w:pPr>
        <w:ind w:left="8004" w:hanging="360"/>
      </w:pPr>
      <w:rPr>
        <w:rFonts w:eastAsiaTheme="minorHAnsi" w:cstheme="minorBidi" w:hint="default"/>
      </w:rPr>
    </w:lvl>
    <w:lvl w:ilvl="2">
      <w:start w:val="1"/>
      <w:numFmt w:val="decimal"/>
      <w:lvlText w:val="%1.%2.%3."/>
      <w:lvlJc w:val="left"/>
      <w:pPr>
        <w:ind w:left="8931" w:hanging="720"/>
      </w:pPr>
      <w:rPr>
        <w:rFonts w:eastAsiaTheme="minorHAnsi" w:cstheme="minorBidi" w:hint="default"/>
      </w:rPr>
    </w:lvl>
    <w:lvl w:ilvl="3">
      <w:start w:val="1"/>
      <w:numFmt w:val="decimal"/>
      <w:lvlText w:val="%1.%2.%3.%4."/>
      <w:lvlJc w:val="left"/>
      <w:pPr>
        <w:ind w:left="9498" w:hanging="720"/>
      </w:pPr>
      <w:rPr>
        <w:rFonts w:eastAsiaTheme="minorHAnsi" w:cstheme="minorBidi" w:hint="default"/>
      </w:rPr>
    </w:lvl>
    <w:lvl w:ilvl="4">
      <w:start w:val="1"/>
      <w:numFmt w:val="decimal"/>
      <w:lvlText w:val="%1.%2.%3.%4.%5."/>
      <w:lvlJc w:val="left"/>
      <w:pPr>
        <w:ind w:left="10425" w:hanging="1080"/>
      </w:pPr>
      <w:rPr>
        <w:rFonts w:eastAsiaTheme="minorHAnsi" w:cstheme="minorBidi" w:hint="default"/>
      </w:rPr>
    </w:lvl>
    <w:lvl w:ilvl="5">
      <w:start w:val="1"/>
      <w:numFmt w:val="decimal"/>
      <w:lvlText w:val="%1.%2.%3.%4.%5.%6."/>
      <w:lvlJc w:val="left"/>
      <w:pPr>
        <w:ind w:left="10992" w:hanging="1080"/>
      </w:pPr>
      <w:rPr>
        <w:rFonts w:eastAsiaTheme="minorHAnsi" w:cstheme="minorBidi" w:hint="default"/>
      </w:rPr>
    </w:lvl>
    <w:lvl w:ilvl="6">
      <w:start w:val="1"/>
      <w:numFmt w:val="decimal"/>
      <w:lvlText w:val="%1.%2.%3.%4.%5.%6.%7."/>
      <w:lvlJc w:val="left"/>
      <w:pPr>
        <w:ind w:left="11919" w:hanging="1440"/>
      </w:pPr>
      <w:rPr>
        <w:rFonts w:eastAsiaTheme="minorHAnsi" w:cstheme="minorBidi" w:hint="default"/>
      </w:rPr>
    </w:lvl>
    <w:lvl w:ilvl="7">
      <w:start w:val="1"/>
      <w:numFmt w:val="decimal"/>
      <w:lvlText w:val="%1.%2.%3.%4.%5.%6.%7.%8."/>
      <w:lvlJc w:val="left"/>
      <w:pPr>
        <w:ind w:left="12486" w:hanging="1440"/>
      </w:pPr>
      <w:rPr>
        <w:rFonts w:eastAsiaTheme="minorHAnsi" w:cstheme="minorBidi" w:hint="default"/>
      </w:rPr>
    </w:lvl>
    <w:lvl w:ilvl="8">
      <w:start w:val="1"/>
      <w:numFmt w:val="decimal"/>
      <w:lvlText w:val="%1.%2.%3.%4.%5.%6.%7.%8.%9."/>
      <w:lvlJc w:val="left"/>
      <w:pPr>
        <w:ind w:left="13413" w:hanging="1800"/>
      </w:pPr>
      <w:rPr>
        <w:rFonts w:eastAsiaTheme="minorHAnsi" w:cstheme="minorBidi" w:hint="default"/>
      </w:rPr>
    </w:lvl>
  </w:abstractNum>
  <w:abstractNum w:abstractNumId="1">
    <w:nsid w:val="01F72272"/>
    <w:multiLevelType w:val="hybridMultilevel"/>
    <w:tmpl w:val="9F7E2730"/>
    <w:lvl w:ilvl="0" w:tplc="D80611A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5160B3"/>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F1346"/>
    <w:multiLevelType w:val="hybridMultilevel"/>
    <w:tmpl w:val="1572F5F2"/>
    <w:lvl w:ilvl="0" w:tplc="0DD26DF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A97968"/>
    <w:multiLevelType w:val="hybridMultilevel"/>
    <w:tmpl w:val="53FEB6F4"/>
    <w:lvl w:ilvl="0" w:tplc="BA223E2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ADC473C"/>
    <w:multiLevelType w:val="hybridMultilevel"/>
    <w:tmpl w:val="9C60A9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5D6152"/>
    <w:multiLevelType w:val="multilevel"/>
    <w:tmpl w:val="8CFC405C"/>
    <w:lvl w:ilvl="0">
      <w:start w:val="1"/>
      <w:numFmt w:val="bullet"/>
      <w:lvlText w:val=""/>
      <w:lvlJc w:val="left"/>
      <w:pPr>
        <w:ind w:left="1495" w:hanging="360"/>
      </w:pPr>
      <w:rPr>
        <w:rFonts w:ascii="Symbol" w:hAnsi="Symbol" w:hint="default"/>
        <w:b w:val="0"/>
        <w:color w:val="auto"/>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C1582C"/>
    <w:multiLevelType w:val="hybridMultilevel"/>
    <w:tmpl w:val="403C9CC0"/>
    <w:lvl w:ilvl="0" w:tplc="002A9B7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8E4E11"/>
    <w:multiLevelType w:val="hybridMultilevel"/>
    <w:tmpl w:val="3702BB7E"/>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E3094D"/>
    <w:multiLevelType w:val="hybridMultilevel"/>
    <w:tmpl w:val="F328039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5BE455F"/>
    <w:multiLevelType w:val="hybridMultilevel"/>
    <w:tmpl w:val="11649DEC"/>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9D3E5A"/>
    <w:multiLevelType w:val="hybridMultilevel"/>
    <w:tmpl w:val="A12CA648"/>
    <w:lvl w:ilvl="0" w:tplc="7D74697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77338EA"/>
    <w:multiLevelType w:val="hybridMultilevel"/>
    <w:tmpl w:val="54BACE22"/>
    <w:lvl w:ilvl="0" w:tplc="A39C0E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6E3931"/>
    <w:multiLevelType w:val="hybridMultilevel"/>
    <w:tmpl w:val="9F10942E"/>
    <w:lvl w:ilvl="0" w:tplc="A39C0E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B1E7C47"/>
    <w:multiLevelType w:val="hybridMultilevel"/>
    <w:tmpl w:val="34FCF430"/>
    <w:lvl w:ilvl="0" w:tplc="C22CAA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BB65ABD"/>
    <w:multiLevelType w:val="hybridMultilevel"/>
    <w:tmpl w:val="0D3E60D2"/>
    <w:lvl w:ilvl="0" w:tplc="F8C8DC8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7A55FC"/>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228158C4"/>
    <w:multiLevelType w:val="hybridMultilevel"/>
    <w:tmpl w:val="E7DA2800"/>
    <w:lvl w:ilvl="0" w:tplc="7CFA1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68D2661"/>
    <w:multiLevelType w:val="hybridMultilevel"/>
    <w:tmpl w:val="164CAAA0"/>
    <w:lvl w:ilvl="0" w:tplc="56BAB95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7DE33E1"/>
    <w:multiLevelType w:val="hybridMultilevel"/>
    <w:tmpl w:val="D0446068"/>
    <w:lvl w:ilvl="0" w:tplc="D92890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8092357"/>
    <w:multiLevelType w:val="hybridMultilevel"/>
    <w:tmpl w:val="A67082AC"/>
    <w:lvl w:ilvl="0" w:tplc="A39C0EA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9961D72"/>
    <w:multiLevelType w:val="multilevel"/>
    <w:tmpl w:val="9AF40130"/>
    <w:lvl w:ilvl="0">
      <w:start w:val="1"/>
      <w:numFmt w:val="decimal"/>
      <w:lvlText w:val="%1."/>
      <w:lvlJc w:val="left"/>
      <w:pPr>
        <w:ind w:left="9291" w:hanging="360"/>
      </w:pPr>
      <w:rPr>
        <w:b w:val="0"/>
      </w:rPr>
    </w:lvl>
    <w:lvl w:ilvl="1">
      <w:start w:val="1"/>
      <w:numFmt w:val="bullet"/>
      <w:lvlText w:val=""/>
      <w:lvlJc w:val="left"/>
      <w:pPr>
        <w:ind w:left="1425" w:hanging="432"/>
      </w:pPr>
      <w:rPr>
        <w:rFonts w:ascii="Symbol" w:hAnsi="Symbol"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ABC34C5"/>
    <w:multiLevelType w:val="hybridMultilevel"/>
    <w:tmpl w:val="B600BA0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B4B18FD"/>
    <w:multiLevelType w:val="hybridMultilevel"/>
    <w:tmpl w:val="58284C94"/>
    <w:lvl w:ilvl="0" w:tplc="E0746DB6">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2C0B6409"/>
    <w:multiLevelType w:val="hybridMultilevel"/>
    <w:tmpl w:val="B14E8232"/>
    <w:lvl w:ilvl="0" w:tplc="4810EF66">
      <w:start w:val="1"/>
      <w:numFmt w:val="russianLower"/>
      <w:lvlText w:val="%1)"/>
      <w:lvlJc w:val="left"/>
      <w:pPr>
        <w:ind w:left="1287" w:hanging="360"/>
      </w:pPr>
      <w:rPr>
        <w:rFonts w:hint="default"/>
        <w:b w:val="0"/>
      </w:rPr>
    </w:lvl>
    <w:lvl w:ilvl="1" w:tplc="5C42AD5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2A807AE"/>
    <w:multiLevelType w:val="hybridMultilevel"/>
    <w:tmpl w:val="7B1A188C"/>
    <w:lvl w:ilvl="0" w:tplc="A39C0EA4">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8DE4A0D"/>
    <w:multiLevelType w:val="hybridMultilevel"/>
    <w:tmpl w:val="51FA5C6A"/>
    <w:lvl w:ilvl="0" w:tplc="B0B2447A">
      <w:start w:val="1"/>
      <w:numFmt w:val="decimal"/>
      <w:lvlText w:val="%1)"/>
      <w:lvlJc w:val="left"/>
      <w:pPr>
        <w:ind w:left="1946" w:hanging="1095"/>
      </w:pPr>
      <w:rPr>
        <w:rFonts w:eastAsia="Calibri"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0DF7186"/>
    <w:multiLevelType w:val="hybridMultilevel"/>
    <w:tmpl w:val="ED4AC2A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56A498C"/>
    <w:multiLevelType w:val="hybridMultilevel"/>
    <w:tmpl w:val="8C227A4E"/>
    <w:lvl w:ilvl="0" w:tplc="A39C0EA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E359A5"/>
    <w:multiLevelType w:val="hybridMultilevel"/>
    <w:tmpl w:val="5F743DDC"/>
    <w:lvl w:ilvl="0" w:tplc="E49A6DC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D0151CF"/>
    <w:multiLevelType w:val="hybridMultilevel"/>
    <w:tmpl w:val="A38A7AEE"/>
    <w:lvl w:ilvl="0" w:tplc="5608F800">
      <w:start w:val="1"/>
      <w:numFmt w:val="upperRoman"/>
      <w:lvlText w:val="%1."/>
      <w:lvlJc w:val="left"/>
      <w:pPr>
        <w:ind w:left="1275" w:hanging="720"/>
      </w:pPr>
      <w:rPr>
        <w:rFonts w:hint="default"/>
      </w:rPr>
    </w:lvl>
    <w:lvl w:ilvl="1" w:tplc="EA0ED0C8">
      <w:start w:val="1"/>
      <w:numFmt w:val="decimal"/>
      <w:lvlText w:val="%2)"/>
      <w:lvlJc w:val="left"/>
      <w:pPr>
        <w:ind w:left="2640" w:hanging="1365"/>
      </w:pPr>
      <w:rPr>
        <w:rFonts w:hint="default"/>
      </w:r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2">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38563FF"/>
    <w:multiLevelType w:val="hybridMultilevel"/>
    <w:tmpl w:val="1E5E664A"/>
    <w:lvl w:ilvl="0" w:tplc="0BFAC2D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706500E"/>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DA2162"/>
    <w:multiLevelType w:val="hybridMultilevel"/>
    <w:tmpl w:val="B18828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D137BB6"/>
    <w:multiLevelType w:val="hybridMultilevel"/>
    <w:tmpl w:val="F328039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DC10A7E"/>
    <w:multiLevelType w:val="multilevel"/>
    <w:tmpl w:val="8CFC405C"/>
    <w:lvl w:ilvl="0">
      <w:start w:val="1"/>
      <w:numFmt w:val="bullet"/>
      <w:lvlText w:val=""/>
      <w:lvlJc w:val="left"/>
      <w:pPr>
        <w:ind w:left="1495" w:hanging="360"/>
      </w:pPr>
      <w:rPr>
        <w:rFonts w:ascii="Symbol" w:hAnsi="Symbol" w:hint="default"/>
        <w:b w:val="0"/>
        <w:color w:val="auto"/>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621719"/>
    <w:multiLevelType w:val="hybridMultilevel"/>
    <w:tmpl w:val="8506E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23314C6"/>
    <w:multiLevelType w:val="hybridMultilevel"/>
    <w:tmpl w:val="0ACA6B04"/>
    <w:lvl w:ilvl="0" w:tplc="93B2896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B723BFF"/>
    <w:multiLevelType w:val="hybridMultilevel"/>
    <w:tmpl w:val="E5A6C4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745BC1"/>
    <w:multiLevelType w:val="hybridMultilevel"/>
    <w:tmpl w:val="C1D80D6A"/>
    <w:lvl w:ilvl="0" w:tplc="A0DA6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02759FC"/>
    <w:multiLevelType w:val="hybridMultilevel"/>
    <w:tmpl w:val="1DE097AE"/>
    <w:lvl w:ilvl="0" w:tplc="360A8C8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24E6012"/>
    <w:multiLevelType w:val="hybridMultilevel"/>
    <w:tmpl w:val="3A00688C"/>
    <w:lvl w:ilvl="0" w:tplc="54D290CE">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6EF05AB"/>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004A59"/>
    <w:multiLevelType w:val="multilevel"/>
    <w:tmpl w:val="EA94E002"/>
    <w:lvl w:ilvl="0">
      <w:start w:val="1"/>
      <w:numFmt w:val="decimal"/>
      <w:lvlText w:val="%1."/>
      <w:lvlJc w:val="left"/>
      <w:pPr>
        <w:ind w:left="9291" w:hanging="360"/>
      </w:pPr>
      <w:rPr>
        <w:b w:val="0"/>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32"/>
  </w:num>
  <w:num w:numId="2">
    <w:abstractNumId w:val="17"/>
  </w:num>
  <w:num w:numId="3">
    <w:abstractNumId w:val="46"/>
  </w:num>
  <w:num w:numId="4">
    <w:abstractNumId w:val="0"/>
  </w:num>
  <w:num w:numId="5">
    <w:abstractNumId w:val="45"/>
  </w:num>
  <w:num w:numId="6">
    <w:abstractNumId w:val="35"/>
  </w:num>
  <w:num w:numId="7">
    <w:abstractNumId w:val="25"/>
  </w:num>
  <w:num w:numId="8">
    <w:abstractNumId w:val="21"/>
  </w:num>
  <w:num w:numId="9">
    <w:abstractNumId w:val="26"/>
  </w:num>
  <w:num w:numId="10">
    <w:abstractNumId w:val="37"/>
  </w:num>
  <w:num w:numId="11">
    <w:abstractNumId w:val="6"/>
  </w:num>
  <w:num w:numId="12">
    <w:abstractNumId w:val="12"/>
  </w:num>
  <w:num w:numId="13">
    <w:abstractNumId w:val="9"/>
  </w:num>
  <w:num w:numId="14">
    <w:abstractNumId w:val="29"/>
  </w:num>
  <w:num w:numId="15">
    <w:abstractNumId w:val="13"/>
  </w:num>
  <w:num w:numId="16">
    <w:abstractNumId w:val="10"/>
  </w:num>
  <w:num w:numId="17">
    <w:abstractNumId w:val="40"/>
  </w:num>
  <w:num w:numId="18">
    <w:abstractNumId w:val="34"/>
  </w:num>
  <w:num w:numId="19">
    <w:abstractNumId w:val="16"/>
  </w:num>
  <w:num w:numId="20">
    <w:abstractNumId w:val="44"/>
  </w:num>
  <w:num w:numId="21">
    <w:abstractNumId w:val="2"/>
  </w:num>
  <w:num w:numId="22">
    <w:abstractNumId w:val="22"/>
  </w:num>
  <w:num w:numId="23">
    <w:abstractNumId w:val="5"/>
  </w:num>
  <w:num w:numId="24">
    <w:abstractNumId w:val="36"/>
  </w:num>
  <w:num w:numId="25">
    <w:abstractNumId w:val="11"/>
  </w:num>
  <w:num w:numId="26">
    <w:abstractNumId w:val="24"/>
  </w:num>
  <w:num w:numId="27">
    <w:abstractNumId w:val="31"/>
  </w:num>
  <w:num w:numId="28">
    <w:abstractNumId w:val="28"/>
  </w:num>
  <w:num w:numId="29">
    <w:abstractNumId w:val="8"/>
  </w:num>
  <w:num w:numId="30">
    <w:abstractNumId w:val="41"/>
  </w:num>
  <w:num w:numId="31">
    <w:abstractNumId w:val="27"/>
  </w:num>
  <w:num w:numId="32">
    <w:abstractNumId w:val="23"/>
  </w:num>
  <w:num w:numId="33">
    <w:abstractNumId w:val="1"/>
  </w:num>
  <w:num w:numId="34">
    <w:abstractNumId w:val="38"/>
  </w:num>
  <w:num w:numId="35">
    <w:abstractNumId w:val="3"/>
  </w:num>
  <w:num w:numId="36">
    <w:abstractNumId w:val="7"/>
  </w:num>
  <w:num w:numId="37">
    <w:abstractNumId w:val="39"/>
  </w:num>
  <w:num w:numId="38">
    <w:abstractNumId w:val="43"/>
  </w:num>
  <w:num w:numId="39">
    <w:abstractNumId w:val="42"/>
  </w:num>
  <w:num w:numId="40">
    <w:abstractNumId w:val="4"/>
  </w:num>
  <w:num w:numId="41">
    <w:abstractNumId w:val="20"/>
  </w:num>
  <w:num w:numId="42">
    <w:abstractNumId w:val="33"/>
  </w:num>
  <w:num w:numId="43">
    <w:abstractNumId w:val="18"/>
  </w:num>
  <w:num w:numId="44">
    <w:abstractNumId w:val="15"/>
  </w:num>
  <w:num w:numId="45">
    <w:abstractNumId w:val="30"/>
  </w:num>
  <w:num w:numId="46">
    <w:abstractNumId w:val="14"/>
  </w:num>
  <w:num w:numId="4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4581BE-0E9B-48FA-99B4-75C86909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007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F01D29336DD843F11801690DDAE1476BC67785707BDAC211630BBA506DAE68F71E29171897E4562685770E489DC7C585D54CB82A3CaBH7K" TargetMode="External"/><Relationship Id="rId13" Type="http://schemas.openxmlformats.org/officeDocument/2006/relationships/hyperlink" Target="consultantplus://offline/ref=18F01D29336DD843F11801690DDAE1476BC67785707BDAC211630BBA506DAE68F71E29171897E4562685770E489DC7C585D54CB82A3CaBH7K" TargetMode="External"/><Relationship Id="rId18" Type="http://schemas.openxmlformats.org/officeDocument/2006/relationships/hyperlink" Target="http://www.pgu-yamal.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18F01D29336DD843F11801690DDAE1476BC67785707BDAC211630BBA506DAE68F71E29171897E4562685770E489DC7C585D54CB82A3CaBH7K" TargetMode="External"/><Relationship Id="rId7" Type="http://schemas.openxmlformats.org/officeDocument/2006/relationships/endnotes" Target="endnotes.xml"/><Relationship Id="rId12" Type="http://schemas.openxmlformats.org/officeDocument/2006/relationships/hyperlink" Target="garantF1://12077515.0"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B70091C9ADFEBAB6FA1851F47F3E759AFF0584538682994DD93DFA9328C334F886E2D18140947122B524E0230632CE9FE26C51CA7346H924J" TargetMode="External"/><Relationship Id="rId2" Type="http://schemas.openxmlformats.org/officeDocument/2006/relationships/numbering" Target="numbering.xml"/><Relationship Id="rId16" Type="http://schemas.openxmlformats.org/officeDocument/2006/relationships/hyperlink" Target="http://www.mfc.yanao.ru" TargetMode="External"/><Relationship Id="rId20" Type="http://schemas.openxmlformats.org/officeDocument/2006/relationships/hyperlink" Target="consultantplus://offline/ref=18F01D29336DD843F11801690DDAE1476BC67785707BDAC211630BBA506DAE68F71E29171897E4562685770E489DC7C585D54CB82A3CaBH7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8F01D29336DD843F11801690DDAE1476BC67785707BDAC211630BBA506DAE68F71E29171897E4562685770E489DC7C585D54CB82A3CaBH7K" TargetMode="External"/><Relationship Id="rId24" Type="http://schemas.openxmlformats.org/officeDocument/2006/relationships/hyperlink" Target="consultantplus://offline/ref=F967C322541DA94ABF855520C515E5F239DE5994B1773A34D52FC2CE658DC5C8F8D19B7FA31E87CD514EABBFBA40F6E2AC195BDAF46Dv7F7K"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asu.ru" TargetMode="External"/><Relationship Id="rId23" Type="http://schemas.openxmlformats.org/officeDocument/2006/relationships/hyperlink" Target="consultantplus://offline/ref=CD6103279BC07491ADE51C505B4CFD9AF5059B7C074C557E2D198E225DF551823A45A09F6CE611CE61A16881A73AE7BFD52C80E9DD99O5gAE" TargetMode="External"/><Relationship Id="rId28" Type="http://schemas.openxmlformats.org/officeDocument/2006/relationships/theme" Target="theme/theme1.xml"/><Relationship Id="rId10" Type="http://schemas.openxmlformats.org/officeDocument/2006/relationships/hyperlink" Target="consultantplus://offline/ref=18F01D29336DD843F11801690DDAE1476BC67785707BDAC211630BBA506DAE68F71E29171897E4562685770E489DC7C585D54CB82A3CaBH7K" TargetMode="External"/><Relationship Id="rId19" Type="http://schemas.openxmlformats.org/officeDocument/2006/relationships/hyperlink" Target="consultantplus://offline/ref=18F01D29336DD843F11801690DDAE1476BC67785707BDAC211630BBA506DAE68F71E29171897E4562685770E489DC7C585D54CB82A3CaBH7K" TargetMode="External"/><Relationship Id="rId4" Type="http://schemas.openxmlformats.org/officeDocument/2006/relationships/settings" Target="settings.xml"/><Relationship Id="rId9" Type="http://schemas.openxmlformats.org/officeDocument/2006/relationships/hyperlink" Target="consultantplus://offline/ref=18F01D29336DD843F11801690DDAE1476BC67785707BDAC211630BBA506DAE68F71E29171897E4562685770E489DC7C585D54CB82A3CaBH7K" TargetMode="External"/><Relationship Id="rId14" Type="http://schemas.openxmlformats.org/officeDocument/2006/relationships/hyperlink" Target="consultantplus://offline/ref=18F01D29336DD843F11801690DDAE1476BC67785707BDAC211630BBA506DAE68F71E29171897E4562685770E489DC7C585D54CB82A3CaBH7K" TargetMode="External"/><Relationship Id="rId22" Type="http://schemas.openxmlformats.org/officeDocument/2006/relationships/hyperlink" Target="consultantplus://offline/ref=18F01D29336DD843F11801690DDAE1476BC67785707BDAC211630BBA506DAE68F71E29171897E4562685770E489DC7C585D54CB82A3CaBH7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2AA21-C699-4AC8-9D95-3E4AC8AE1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5757</TotalTime>
  <Pages>42</Pages>
  <Words>16884</Words>
  <Characters>96242</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112901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170</cp:revision>
  <cp:lastPrinted>2020-12-04T06:49:00Z</cp:lastPrinted>
  <dcterms:created xsi:type="dcterms:W3CDTF">2018-11-02T09:47:00Z</dcterms:created>
  <dcterms:modified xsi:type="dcterms:W3CDTF">2020-12-04T06:49:00Z</dcterms:modified>
</cp:coreProperties>
</file>