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tabs>
          <w:tab w:val="left" w:pos="9356"/>
        </w:tabs>
        <w:spacing w:after="0" w:line="360" w:lineRule="auto"/>
        <w:ind w:left="4820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УТВЕРЖДЕН</w:t>
      </w:r>
    </w:p>
    <w:p>
      <w:pPr>
        <w:tabs>
          <w:tab w:val="left" w:pos="9356"/>
        </w:tabs>
        <w:spacing w:after="0" w:line="240" w:lineRule="auto"/>
        <w:ind w:left="4820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распоряжением</w:t>
      </w:r>
    </w:p>
    <w:p>
      <w:pPr>
        <w:tabs>
          <w:tab w:val="left" w:pos="9356"/>
        </w:tabs>
        <w:spacing w:after="0" w:line="240" w:lineRule="auto"/>
        <w:ind w:left="4820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Главы Тазовского района</w:t>
      </w:r>
    </w:p>
    <w:p>
      <w:pPr>
        <w:tabs>
          <w:tab w:val="left" w:pos="9356"/>
        </w:tabs>
        <w:spacing w:after="0" w:line="240" w:lineRule="auto"/>
        <w:ind w:left="4820"/>
        <w:rPr>
          <w:rFonts w:ascii="PT Astra Serif" w:hAnsi="PT Astra Serif"/>
          <w:sz w:val="28"/>
          <w:szCs w:val="28"/>
          <w:u w:val="none"/>
        </w:rPr>
      </w:pPr>
      <w:r>
        <w:rPr>
          <w:rFonts w:ascii="PT Astra Serif" w:hAnsi="PT Astra Serif"/>
          <w:sz w:val="28"/>
          <w:szCs w:val="28"/>
          <w:u w:val="none"/>
        </w:rPr>
        <w:t>от 19 октября 2020 года № 64-рг</w:t>
      </w:r>
      <w:bookmarkStart w:id="0" w:name="_GoBack"/>
      <w:bookmarkEnd w:id="0"/>
    </w:p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4"/>
          <w:szCs w:val="28"/>
          <w:u w:val="none"/>
        </w:rPr>
      </w:pPr>
    </w:p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4"/>
          <w:szCs w:val="28"/>
          <w:u w:val="none"/>
        </w:rPr>
      </w:pPr>
    </w:p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24"/>
          <w:szCs w:val="28"/>
          <w:u w:val="none"/>
        </w:rPr>
      </w:pPr>
    </w:p>
    <w:p>
      <w:pPr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>
        <w:rPr>
          <w:rFonts w:ascii="PT Astra Serif" w:hAnsi="PT Astra Serif"/>
          <w:b/>
          <w:sz w:val="28"/>
          <w:szCs w:val="28"/>
          <w:u w:val="none"/>
        </w:rPr>
        <w:t>П Л А Н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hAnsi="PT Astra Serif"/>
          <w:b/>
          <w:sz w:val="28"/>
          <w:szCs w:val="28"/>
          <w:u w:val="none"/>
        </w:rPr>
      </w:pPr>
      <w:r>
        <w:rPr>
          <w:rFonts w:ascii="PT Astra Serif" w:hAnsi="PT Astra Serif"/>
          <w:b/>
          <w:sz w:val="28"/>
          <w:szCs w:val="28"/>
          <w:u w:val="none"/>
        </w:rPr>
        <w:t>мероприятий, посвященных празднованию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  <w:r>
        <w:rPr>
          <w:rFonts w:ascii="PT Astra Serif" w:hAnsi="PT Astra Serif"/>
          <w:b/>
          <w:sz w:val="28"/>
          <w:szCs w:val="28"/>
          <w:u w:val="none"/>
        </w:rPr>
        <w:t>Дня народного единства,</w:t>
      </w:r>
      <w:r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  <w:t xml:space="preserve"> на территории муниципального округа</w:t>
      </w:r>
    </w:p>
    <w:p>
      <w:pPr>
        <w:tabs>
          <w:tab w:val="left" w:pos="9356"/>
        </w:tabs>
        <w:spacing w:after="0" w:line="240" w:lineRule="auto"/>
        <w:ind w:right="-2"/>
        <w:contextualSpacing/>
        <w:jc w:val="center"/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</w:pPr>
      <w:r>
        <w:rPr>
          <w:rFonts w:ascii="PT Astra Serif" w:eastAsia="Times New Roman" w:hAnsi="PT Astra Serif"/>
          <w:b/>
          <w:bCs/>
          <w:color w:val="000000"/>
          <w:sz w:val="28"/>
          <w:szCs w:val="28"/>
          <w:u w:val="none"/>
        </w:rPr>
        <w:t>Тазовский район Ямало-Ненецкого автономного округа в 2020 году</w:t>
      </w:r>
    </w:p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  <w:u w:val="none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48"/>
        <w:gridCol w:w="2551"/>
        <w:gridCol w:w="3431"/>
      </w:tblGrid>
      <w:t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>
              <w:rPr>
                <w:rFonts w:ascii="PT Astra Serif" w:hAnsi="PT Astra Serif"/>
                <w:sz w:val="20"/>
                <w:szCs w:val="28"/>
                <w:u w:val="none"/>
              </w:rPr>
              <w:t xml:space="preserve">№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>
              <w:rPr>
                <w:rFonts w:ascii="PT Astra Serif" w:hAnsi="PT Astra Serif"/>
                <w:sz w:val="20"/>
                <w:szCs w:val="28"/>
                <w:u w:val="none"/>
              </w:rPr>
              <w:t>п/п</w:t>
            </w:r>
          </w:p>
        </w:tc>
        <w:tc>
          <w:tcPr>
            <w:tcW w:w="294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>
              <w:rPr>
                <w:rFonts w:ascii="PT Astra Serif" w:hAnsi="PT Astra Serif"/>
                <w:sz w:val="20"/>
                <w:szCs w:val="28"/>
                <w:u w:val="none"/>
              </w:rPr>
              <w:t>Мероприятия</w:t>
            </w:r>
          </w:p>
        </w:tc>
        <w:tc>
          <w:tcPr>
            <w:tcW w:w="2551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>
              <w:rPr>
                <w:rFonts w:ascii="PT Astra Serif" w:hAnsi="PT Astra Serif"/>
                <w:sz w:val="20"/>
                <w:szCs w:val="28"/>
                <w:u w:val="none"/>
              </w:rPr>
              <w:t>Дата и место проведения</w:t>
            </w:r>
          </w:p>
        </w:tc>
        <w:tc>
          <w:tcPr>
            <w:tcW w:w="3431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8"/>
                <w:u w:val="none"/>
              </w:rPr>
            </w:pPr>
            <w:r>
              <w:rPr>
                <w:rFonts w:ascii="PT Astra Serif" w:hAnsi="PT Astra Serif"/>
                <w:sz w:val="20"/>
                <w:szCs w:val="28"/>
                <w:u w:val="none"/>
              </w:rPr>
              <w:t>Ответственные</w:t>
            </w:r>
          </w:p>
        </w:tc>
      </w:tr>
    </w:tbl>
    <w:p>
      <w:pPr>
        <w:tabs>
          <w:tab w:val="left" w:pos="9356"/>
        </w:tabs>
        <w:spacing w:after="0" w:line="240" w:lineRule="auto"/>
        <w:jc w:val="center"/>
        <w:rPr>
          <w:rFonts w:ascii="PT Astra Serif" w:hAnsi="PT Astra Serif"/>
          <w:sz w:val="10"/>
          <w:szCs w:val="28"/>
          <w:u w:val="none"/>
        </w:rPr>
      </w:pPr>
    </w:p>
    <w:tbl>
      <w:tblPr>
        <w:tblW w:w="96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948"/>
        <w:gridCol w:w="2551"/>
        <w:gridCol w:w="3431"/>
      </w:tblGrid>
      <w:tr>
        <w:trPr>
          <w:tblHeader/>
        </w:trPr>
        <w:tc>
          <w:tcPr>
            <w:tcW w:w="738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1</w:t>
            </w:r>
          </w:p>
        </w:tc>
        <w:tc>
          <w:tcPr>
            <w:tcW w:w="2948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4</w:t>
            </w:r>
          </w:p>
        </w:tc>
      </w:tr>
      <w:tr>
        <w:trPr>
          <w:trHeight w:val="242"/>
        </w:trPr>
        <w:tc>
          <w:tcPr>
            <w:tcW w:w="9668" w:type="dxa"/>
            <w:gridSpan w:val="4"/>
            <w:vAlign w:val="center"/>
          </w:tcPr>
          <w:p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Организационные мероприятия</w:t>
            </w:r>
          </w:p>
        </w:tc>
      </w:tr>
      <w:tr>
        <w:trPr>
          <w:trHeight w:val="2284"/>
        </w:trPr>
        <w:tc>
          <w:tcPr>
            <w:tcW w:w="738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1.1.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Организация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заседаний оргкомитета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подготовке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проведению мероприятий, посвященных празднованию Дня народного единства,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u w:val="none"/>
              </w:rPr>
              <w:t xml:space="preserve">на территории муниципального округа Тазовский район </w:t>
            </w:r>
          </w:p>
          <w:p>
            <w:pPr>
              <w:tabs>
                <w:tab w:val="left" w:pos="9356"/>
              </w:tabs>
              <w:spacing w:after="0" w:line="240" w:lineRule="auto"/>
              <w:ind w:right="-2"/>
              <w:contextualSpacing/>
              <w:jc w:val="center"/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eastAsia="Times New Roman" w:hAnsi="PT Astra Serif"/>
                <w:bCs/>
                <w:color w:val="000000"/>
                <w:sz w:val="20"/>
                <w:szCs w:val="20"/>
                <w:u w:val="none"/>
              </w:rPr>
              <w:t>Ямало-Ненецкого автономного округа в</w:t>
            </w:r>
            <w:r>
              <w:rPr>
                <w:rFonts w:ascii="PT Astra Serif" w:hAnsi="PT Astra Serif"/>
                <w:bCs/>
                <w:color w:val="000000"/>
                <w:sz w:val="20"/>
                <w:szCs w:val="20"/>
                <w:u w:val="none"/>
              </w:rPr>
              <w:t xml:space="preserve"> 2020 году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мере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необходимости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заместитель главы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Администрации 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Буяновская И.В.;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</w:t>
            </w:r>
          </w:p>
        </w:tc>
      </w:tr>
      <w:tr>
        <w:tc>
          <w:tcPr>
            <w:tcW w:w="738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1.2.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Праздничное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оформление населенных пунктов согласно тематике праздника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октябрь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2020 года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главы Администраций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с. Газ-Сале,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с. Находка,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с. Антипаюта,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с. Гыда</w:t>
            </w:r>
          </w:p>
        </w:tc>
      </w:tr>
      <w:tr>
        <w:tc>
          <w:tcPr>
            <w:tcW w:w="738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1.3.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Организация взаимодействия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 Тазовским филиалом регионального движения «Ассоциация коренных малочисленных народов Севера Ямало-Ненецкого автономного округа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«Ямал-потомкам!»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 реализации мероприятий, посвященных празднованию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Дня народного единства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по мере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необходимости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заместитель главы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руководитель Тазовского филиала регионального движения «Ассоциация коренных малочисленных народов Севера Ямало-Ненецкого автономного округа «Ямал-потомкам!»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(Сатыков В.Н.)</w:t>
            </w:r>
          </w:p>
        </w:tc>
      </w:tr>
      <w:tr>
        <w:tc>
          <w:tcPr>
            <w:tcW w:w="738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1.4.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Организация взаимодействия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с Некоммерческой организацией «Фонд развития Тазовского района 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Ямало-Ненецкого 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автономного округа»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реализации мероприятий, посвященных празднованию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Дня народного единства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по мере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необходимости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заместитель главы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Некоммерческая организация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 xml:space="preserve">Фонд развития Тазовского района Ямало-Ненецкого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автономного округа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(Курочкин А.А.)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(по согласованию)</w:t>
            </w:r>
          </w:p>
        </w:tc>
      </w:tr>
      <w:tr>
        <w:tc>
          <w:tcPr>
            <w:tcW w:w="738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1.5.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Соблюдение профилактических мер согласно постановлению Губернатора Ямало-Ненецкого автономного округа </w:t>
            </w:r>
          </w:p>
          <w:p>
            <w:pPr>
              <w:tabs>
                <w:tab w:val="left" w:pos="3045"/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от 16 марта 2020 года № 29-ПГ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по мере</w:t>
            </w:r>
          </w:p>
          <w:p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необходимости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заместитель главы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социальным вопросам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Буяновская И.В.;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contextualSpacing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</w:t>
            </w:r>
          </w:p>
        </w:tc>
      </w:tr>
      <w:tr>
        <w:tc>
          <w:tcPr>
            <w:tcW w:w="9668" w:type="dxa"/>
            <w:gridSpan w:val="4"/>
            <w:vAlign w:val="center"/>
          </w:tcPr>
          <w:p>
            <w:pPr>
              <w:pStyle w:val="a3"/>
              <w:numPr>
                <w:ilvl w:val="0"/>
                <w:numId w:val="19"/>
              </w:numPr>
              <w:tabs>
                <w:tab w:val="left" w:pos="34"/>
              </w:tabs>
              <w:spacing w:after="0" w:line="240" w:lineRule="auto"/>
              <w:ind w:left="0" w:firstLine="34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Концертные, развлекательные, познавательные, игровые программы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Час мужества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«Доблестные сыны России»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31 октября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Муниципального бюджетного учреждения «Централизованная библиотечная сеть» «Сельская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с. Находка – филиал № 2»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с. Находка - филиал № 2»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(Салиндер С.А.)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2.2.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X Фестиваль народного творчества «Дружба народов – не просто слова»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01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села Газ-Сале»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Газ-Сале»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(Фазылова О.Ю.)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2.3.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Развлекательная программа «Забавы у русской печки»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01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lastRenderedPageBreak/>
              <w:t>«Районный Дом культуры»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бюджетное учреждение «Централизованная сеть культурно-досуговых учреждений </w:t>
            </w: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«Районный Дом культуры»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(Шамтиева Т.С.)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2.4.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Исторический экскурс «Русской доблести пример»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02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Муниципального бюджетного учреждения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с. Антипаюта - филиал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№ 3»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(Тюменцева О.В.);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библиотечная сеть»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«Сельская библиотека,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с. Антипаюта - филиал № 3»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(Вакарина Т.П.)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2.5.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Виртуальные мастер-классы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по изготовлению народных кукол «Зольная»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«Северная берегиня»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02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Сайт Муниципального бюджетного учреждения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«Тазовский районный краеведческий музей»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«Тазовский районный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краеведческий музей»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(Трутченкова В.Е.)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2.6.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Лекция – презентация «Смутное время»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02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«Тазовский районный краеведческий музей»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«Тазовский районный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краеведческий музей»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(Трутченкова В.Е.)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2.7.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Праздничная программа «Едино государство, когда един народ»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02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в муниципальном образовании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Тазовский район»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 муниципальном образовании Тазовский район»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(по согласованию)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2.8.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Классные часы, беседы: «Единство разных»,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«Вместе мы - одна страна!»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lastRenderedPageBreak/>
              <w:t>02 – 03 ноября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lastRenderedPageBreak/>
              <w:t xml:space="preserve">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2.9.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Конкурсно-развлекательные мероприятия, посвященные Дню народного единства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02 – 03 ноября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дошкольные 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2.10.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Встреча представителей православной церкви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мусульманского духовенства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 учащимися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02 – 03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Муниципальное бюджетное общеобразовательное учреждение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Тазовская средняя общеобразовательная школа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общеобразовательное учреждение Тазовская средняя общеобразовательная школа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(Борисова О.Н.)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2.11.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Показ художественного фильма «Мальчик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 полосатой пижаме»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02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Муниципальное казенное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казенное общеобразовательное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учреждение Тазовская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школа-интернат среднего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общего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(Зятев И.А.)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2.12.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Исторический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брейн-ринг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«Путь через века»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03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Муниципальное казенное общеобразовательное учреждение Тазовская школа-интернат среднего общего образования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библиотечная сеть»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(Тюменцева О.В.)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2.13.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Познавательно - развлекательная программа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в онлайн-формате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«Мы вместе и это здорово»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03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села Газ-Сале»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(Новицкая Ю.Н.)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2.14.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Кукольный театр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«Дружба народов»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03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государственное бюджетное учреждение Ямало-Ненецкого автономного округа «Центр социального 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в муниципальном образовании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Тазовский район»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государственное бюджетное учреждение Ямало-Ненецкого автономного округа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«Центр социального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обслуживания населения «Забота»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 муниципальном образовании Тазовский район»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(Садовская О.В.)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(по согласованию)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2.15.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Брейн-ринг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ко Дню народного единства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03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муниципальное бюджетное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lastRenderedPageBreak/>
              <w:t>образовательное учреждение дополнительного образования «Тазовский районный Дом творчества»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муниципальное бюджетное образовательное учреждение дополнительного образования «Тазовский районный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Дом творчества»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(Темнов Ю.Г.)</w:t>
            </w:r>
          </w:p>
        </w:tc>
      </w:tr>
      <w:tr>
        <w:trPr>
          <w:trHeight w:val="481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2.16.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Изобразительный квест «Фантазии народного искусства»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03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муниципальное бюджетное образовательное учреждение дополнительного образования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«Газ-Салинский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детско-юношеский центр»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бюджетное образовательное учреждение дополнительного образования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«Газ-Салинский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детско-юношеский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(Штубина Н.В.)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2.17.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Фестиваль народного творчества «Все народы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 гости к нам»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04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«Районный Дом культуры»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«Районный Центр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национальных культур»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(Бородина Ю.А.)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2.18.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Концертная программа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ко Дню народного единства «Мой дом - Россия!»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04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села Находка»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(Саитова М.А.)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2.19.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Концертная программа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«Мы едины»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04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lastRenderedPageBreak/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села Антипаюта»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бюджетное учреждение «Централизованная сеть </w:t>
            </w: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(Фатхулина Е.И.)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2.20.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Концертная программа «Единство во имя России»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04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села Гыда»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Гыда»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(Ткаченко В.А.)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2.21.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Классный час «История возникновения праздника «День народного единства»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ноябрь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Муниципальное бюджетное учреждение дополнительного образования Тазовская детская школа искусств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бюджетное учреждение дополнительного образования Тазовская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детская школа искусств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(Сутула Л.Н.)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2.22.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Показ художественного фильма «Минин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Пожарский»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21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казенное общеобразовательное учреждение Гыданская школа-интернат среднего  общего образования имени Натальи Ивановны Яптунай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казенное общеобразовательное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учреждение Гыданская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школа-интернат среднего общего образования имени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Натальи Ивановны Яптунай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(Андриишин А.Н.)</w:t>
            </w:r>
          </w:p>
        </w:tc>
      </w:tr>
      <w:tr>
        <w:trPr>
          <w:trHeight w:val="185"/>
        </w:trPr>
        <w:tc>
          <w:tcPr>
            <w:tcW w:w="9668" w:type="dxa"/>
            <w:gridSpan w:val="4"/>
            <w:vAlign w:val="center"/>
          </w:tcPr>
          <w:p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Выставки, конкурсы, акции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3.1.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Конкурс рисунков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«Вместе - мы сила!»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25 октября – 03 ноября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образовательные организации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образовательные организации Тазовского района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3.2.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Флешмоб в социальных сетях, посвященный Дню народного единства #Землядлявсех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26 октября – 03 ноября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Муниципальное бюджетное </w:t>
            </w: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lastRenderedPageBreak/>
              <w:t xml:space="preserve">общеобразовательное учреждение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Тазовская средняя общеобразовательная школа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Департамент образования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(Тетерина А.Э.);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Муниципальное бюджетное </w:t>
            </w: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общеобразовательное учреждение Тазовская средняя общеобразовательная школа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(Борисова О.Н.)</w:t>
            </w:r>
          </w:p>
        </w:tc>
      </w:tr>
      <w:tr>
        <w:trPr>
          <w:trHeight w:val="481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3.3.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Выставка-конкурс кулинарного мастерства «Вареники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для казаков» из цикла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сохранению и развитию самобытной казачьей культуры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01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  <w:u w:val="none"/>
              </w:rPr>
              <w:t>села Газ-Сале»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Газ-Сале»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(Фазылова О.Ю.)</w:t>
            </w:r>
          </w:p>
        </w:tc>
      </w:tr>
      <w:tr>
        <w:trPr>
          <w:trHeight w:val="585"/>
        </w:trPr>
        <w:tc>
          <w:tcPr>
            <w:tcW w:w="7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3.4.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Выставка детских рисунков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«В единстве наша сила»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02 – 08 ноября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Находка»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Находка»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(Саитова М.А.)</w:t>
            </w:r>
          </w:p>
        </w:tc>
      </w:tr>
      <w:tr>
        <w:trPr>
          <w:trHeight w:val="58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3.5.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Выставка детского рисунка «Мир на планете»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03 – 08 ноября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муниципального бюджетного учреждения «Централизованная сеть культурно-досуговых учреждений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Антипаюта»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спорта, молодежной политики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(Лапина М.В.);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структурное подразделение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«Централизованная сеть культурно-досуговых учреждений Тазовского района»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«Сельский Дом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села Антипаюта»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(Фатхулина Е.И.)</w:t>
            </w:r>
          </w:p>
        </w:tc>
      </w:tr>
      <w:tr>
        <w:trPr>
          <w:trHeight w:val="585"/>
        </w:trPr>
        <w:tc>
          <w:tcPr>
            <w:tcW w:w="738" w:type="dxa"/>
            <w:tcBorders>
              <w:right w:val="single" w:sz="4" w:space="0" w:color="auto"/>
            </w:tcBorders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lastRenderedPageBreak/>
              <w:t>3.6.</w:t>
            </w:r>
          </w:p>
        </w:tc>
        <w:tc>
          <w:tcPr>
            <w:tcW w:w="294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Акция «Народы России»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03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с. Антипаюта</w:t>
            </w:r>
          </w:p>
        </w:tc>
        <w:tc>
          <w:tcPr>
            <w:tcW w:w="343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«Молодежный центр»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(Новицкая Ю.Н.)</w:t>
            </w:r>
          </w:p>
        </w:tc>
      </w:tr>
      <w:tr>
        <w:trPr>
          <w:trHeight w:val="241"/>
        </w:trPr>
        <w:tc>
          <w:tcPr>
            <w:tcW w:w="9668" w:type="dxa"/>
            <w:gridSpan w:val="4"/>
            <w:vAlign w:val="center"/>
          </w:tcPr>
          <w:p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34" w:firstLine="0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Спортивные мероприятия</w:t>
            </w:r>
          </w:p>
        </w:tc>
      </w:tr>
      <w:tr>
        <w:trPr>
          <w:trHeight w:val="434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4.1.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Соревнования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настольному теннису, посвященные Дню народного единства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04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село Антипаюта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 развития физической культуры 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(Делибалтов В.М)</w:t>
            </w:r>
          </w:p>
        </w:tc>
      </w:tr>
      <w:tr>
        <w:trPr>
          <w:trHeight w:val="434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4.2.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Открытое личное первенство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по настольному теннису, посвященное Дню народного единства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04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спортивный зал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«Геолог»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п. Тазовский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муниципального бюджетного учреждения «Центр развития 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спорта»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 развития 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(Делибалтов В.М.);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спортивный зал «Геолог»,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п. Тазовский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(Пашаев А.М.)</w:t>
            </w:r>
          </w:p>
        </w:tc>
      </w:tr>
      <w:tr>
        <w:trPr>
          <w:trHeight w:val="434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4.3.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Первенство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по настольному теннису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среди женщин, посвященное празднованию Дня народного единства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04 ноября 2020 года;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село Гыда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Управление культуры,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 xml:space="preserve">и спорта, молодежной политики 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туризма Администрации Тазовского района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(Еремина С.В.);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«Центр развития физической культуры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 спорта»</w:t>
            </w:r>
          </w:p>
          <w:p>
            <w:pPr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(Делибалтов В.М.);</w:t>
            </w:r>
          </w:p>
        </w:tc>
      </w:tr>
      <w:tr>
        <w:trPr>
          <w:trHeight w:val="221"/>
        </w:trPr>
        <w:tc>
          <w:tcPr>
            <w:tcW w:w="9668" w:type="dxa"/>
            <w:gridSpan w:val="4"/>
            <w:vAlign w:val="center"/>
          </w:tcPr>
          <w:p>
            <w:pPr>
              <w:pStyle w:val="a3"/>
              <w:numPr>
                <w:ilvl w:val="0"/>
                <w:numId w:val="19"/>
              </w:numPr>
              <w:tabs>
                <w:tab w:val="left" w:pos="0"/>
              </w:tabs>
              <w:spacing w:after="0" w:line="240" w:lineRule="auto"/>
              <w:ind w:left="0" w:firstLine="34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Информационное сопровождение мероприятий</w:t>
            </w:r>
          </w:p>
        </w:tc>
      </w:tr>
      <w:tr>
        <w:trPr>
          <w:trHeight w:val="70"/>
        </w:trPr>
        <w:tc>
          <w:tcPr>
            <w:tcW w:w="738" w:type="dxa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5.1.</w:t>
            </w:r>
          </w:p>
        </w:tc>
        <w:tc>
          <w:tcPr>
            <w:tcW w:w="2948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Освещение мероприятий, посвященных празднованию Дня народного единства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на территории муниципального округа Тазовский район Ямало-Ненецкого автономного округа</w:t>
            </w:r>
          </w:p>
        </w:tc>
        <w:tc>
          <w:tcPr>
            <w:tcW w:w="255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ноябрь 2020 года</w:t>
            </w:r>
          </w:p>
        </w:tc>
        <w:tc>
          <w:tcPr>
            <w:tcW w:w="3431" w:type="dxa"/>
            <w:shd w:val="clear" w:color="auto" w:fill="auto"/>
            <w:vAlign w:val="center"/>
          </w:tcPr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муниципальное бюджетное учреждение «Средства массовой информации Тазовского района»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(Лиханова Е.Л.);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информационно-аналитическое управление Администрации Тазовского района</w:t>
            </w:r>
          </w:p>
          <w:p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PT Astra Serif" w:hAnsi="PT Astra Serif"/>
                <w:sz w:val="20"/>
                <w:szCs w:val="20"/>
                <w:u w:val="none"/>
              </w:rPr>
            </w:pPr>
            <w:r>
              <w:rPr>
                <w:rFonts w:ascii="PT Astra Serif" w:hAnsi="PT Astra Serif"/>
                <w:sz w:val="20"/>
                <w:szCs w:val="20"/>
                <w:u w:val="none"/>
              </w:rPr>
              <w:t>(Шарикадзе А.Ю.)</w:t>
            </w:r>
          </w:p>
        </w:tc>
      </w:tr>
    </w:tbl>
    <w:p>
      <w:pPr>
        <w:tabs>
          <w:tab w:val="left" w:pos="0"/>
        </w:tabs>
        <w:spacing w:after="0" w:line="240" w:lineRule="auto"/>
        <w:rPr>
          <w:rFonts w:ascii="PT Astra Serif" w:hAnsi="PT Astra Serif"/>
          <w:sz w:val="28"/>
          <w:szCs w:val="28"/>
          <w:u w:val="none"/>
        </w:rPr>
      </w:pPr>
    </w:p>
    <w:sectPr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DejaVu Sans Mono">
    <w:altName w:val="Arial"/>
    <w:charset w:val="00"/>
    <w:family w:val="modern"/>
    <w:pitch w:val="default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9"/>
    </w:pPr>
  </w:p>
  <w:p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2</w:t>
    </w:r>
    <w:r>
      <w:rPr>
        <w:rStyle w:val="ae"/>
      </w:rPr>
      <w:fldChar w:fldCharType="end"/>
    </w:r>
  </w:p>
  <w:p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8705423"/>
      <w:docPartObj>
        <w:docPartGallery w:val="Page Numbers (Top of Page)"/>
        <w:docPartUnique/>
      </w:docPartObj>
    </w:sdtPr>
    <w:sdtEndPr>
      <w:rPr>
        <w:rFonts w:ascii="PT Astra Serif" w:hAnsi="PT Astra Serif"/>
        <w:sz w:val="24"/>
      </w:rPr>
    </w:sdtEndPr>
    <w:sdtContent>
      <w:p>
        <w:pPr>
          <w:pStyle w:val="a7"/>
          <w:jc w:val="center"/>
          <w:rPr>
            <w:rFonts w:ascii="PT Astra Serif" w:hAnsi="PT Astra Serif"/>
            <w:sz w:val="24"/>
          </w:rPr>
        </w:pPr>
        <w:r>
          <w:rPr>
            <w:rFonts w:ascii="PT Astra Serif" w:hAnsi="PT Astra Serif"/>
            <w:sz w:val="24"/>
            <w:u w:val="none"/>
          </w:rPr>
          <w:fldChar w:fldCharType="begin"/>
        </w:r>
        <w:r>
          <w:rPr>
            <w:rFonts w:ascii="PT Astra Serif" w:hAnsi="PT Astra Serif"/>
            <w:sz w:val="24"/>
            <w:u w:val="none"/>
          </w:rPr>
          <w:instrText>PAGE   \* MERGEFORMAT</w:instrText>
        </w:r>
        <w:r>
          <w:rPr>
            <w:rFonts w:ascii="PT Astra Serif" w:hAnsi="PT Astra Serif"/>
            <w:sz w:val="24"/>
            <w:u w:val="none"/>
          </w:rPr>
          <w:fldChar w:fldCharType="separate"/>
        </w:r>
        <w:r>
          <w:rPr>
            <w:rFonts w:ascii="PT Astra Serif" w:hAnsi="PT Astra Serif"/>
            <w:noProof/>
            <w:sz w:val="24"/>
            <w:u w:val="none"/>
          </w:rPr>
          <w:t>3</w:t>
        </w:r>
        <w:r>
          <w:rPr>
            <w:rFonts w:ascii="PT Astra Serif" w:hAnsi="PT Astra Serif"/>
            <w:sz w:val="24"/>
            <w:u w:val="none"/>
          </w:rPr>
          <w:fldChar w:fldCharType="end"/>
        </w:r>
      </w:p>
    </w:sdtContent>
  </w:sdt>
  <w:p>
    <w:pPr>
      <w:pStyle w:val="a7"/>
      <w:rPr>
        <w:rFonts w:ascii="PT Astra Serif" w:hAnsi="PT Astra Serif"/>
        <w:sz w:val="28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93C"/>
    <w:multiLevelType w:val="hybridMultilevel"/>
    <w:tmpl w:val="C4906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804B3"/>
    <w:multiLevelType w:val="hybridMultilevel"/>
    <w:tmpl w:val="D9F0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67BF"/>
    <w:multiLevelType w:val="hybridMultilevel"/>
    <w:tmpl w:val="B65A1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D40791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06608"/>
    <w:multiLevelType w:val="hybridMultilevel"/>
    <w:tmpl w:val="1C2C2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B40F0"/>
    <w:multiLevelType w:val="hybridMultilevel"/>
    <w:tmpl w:val="EC7E6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D2189"/>
    <w:multiLevelType w:val="hybridMultilevel"/>
    <w:tmpl w:val="D60630C6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32D60"/>
    <w:multiLevelType w:val="hybridMultilevel"/>
    <w:tmpl w:val="0196571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906"/>
    <w:multiLevelType w:val="hybridMultilevel"/>
    <w:tmpl w:val="1564FA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0335B4"/>
    <w:multiLevelType w:val="hybridMultilevel"/>
    <w:tmpl w:val="2A626F84"/>
    <w:lvl w:ilvl="0" w:tplc="F86E57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5355B"/>
    <w:multiLevelType w:val="hybridMultilevel"/>
    <w:tmpl w:val="38A0B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E1B23"/>
    <w:multiLevelType w:val="hybridMultilevel"/>
    <w:tmpl w:val="6EA2A34E"/>
    <w:lvl w:ilvl="0" w:tplc="5DAAB0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6557F7"/>
    <w:multiLevelType w:val="hybridMultilevel"/>
    <w:tmpl w:val="E7C8A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A46A6"/>
    <w:multiLevelType w:val="hybridMultilevel"/>
    <w:tmpl w:val="7DE65538"/>
    <w:lvl w:ilvl="0" w:tplc="8362E38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50048FF"/>
    <w:multiLevelType w:val="hybridMultilevel"/>
    <w:tmpl w:val="450095D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161F7"/>
    <w:multiLevelType w:val="hybridMultilevel"/>
    <w:tmpl w:val="F29E3C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6C5F72"/>
    <w:multiLevelType w:val="hybridMultilevel"/>
    <w:tmpl w:val="DEACE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764B50"/>
    <w:multiLevelType w:val="hybridMultilevel"/>
    <w:tmpl w:val="BCB4FC26"/>
    <w:lvl w:ilvl="0" w:tplc="B2B8E3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954EAB"/>
    <w:multiLevelType w:val="hybridMultilevel"/>
    <w:tmpl w:val="7988CC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4F75A6"/>
    <w:multiLevelType w:val="multilevel"/>
    <w:tmpl w:val="D11A6DE8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5"/>
  </w:num>
  <w:num w:numId="4">
    <w:abstractNumId w:val="10"/>
  </w:num>
  <w:num w:numId="5">
    <w:abstractNumId w:val="18"/>
  </w:num>
  <w:num w:numId="6">
    <w:abstractNumId w:val="16"/>
  </w:num>
  <w:num w:numId="7">
    <w:abstractNumId w:val="1"/>
  </w:num>
  <w:num w:numId="8">
    <w:abstractNumId w:val="14"/>
  </w:num>
  <w:num w:numId="9">
    <w:abstractNumId w:val="8"/>
  </w:num>
  <w:num w:numId="10">
    <w:abstractNumId w:val="19"/>
  </w:num>
  <w:num w:numId="11">
    <w:abstractNumId w:val="7"/>
  </w:num>
  <w:num w:numId="12">
    <w:abstractNumId w:val="2"/>
  </w:num>
  <w:num w:numId="13">
    <w:abstractNumId w:val="12"/>
  </w:num>
  <w:num w:numId="14">
    <w:abstractNumId w:val="6"/>
  </w:num>
  <w:num w:numId="15">
    <w:abstractNumId w:val="3"/>
  </w:num>
  <w:num w:numId="16">
    <w:abstractNumId w:val="9"/>
  </w:num>
  <w:num w:numId="17">
    <w:abstractNumId w:val="11"/>
  </w:num>
  <w:num w:numId="18">
    <w:abstractNumId w:val="0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11FBB-4C2B-43F8-9149-6A766EF5C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u w:val="single"/>
      <w:lang w:eastAsia="en-US"/>
    </w:rPr>
  </w:style>
  <w:style w:type="paragraph" w:styleId="2">
    <w:name w:val="heading 2"/>
    <w:basedOn w:val="a"/>
    <w:next w:val="a"/>
    <w:link w:val="20"/>
    <w:qFormat/>
    <w:pPr>
      <w:keepNext/>
      <w:spacing w:after="0" w:line="240" w:lineRule="auto"/>
      <w:jc w:val="center"/>
      <w:outlineLvl w:val="1"/>
    </w:pPr>
    <w:rPr>
      <w:rFonts w:eastAsia="Times New Roman"/>
      <w:sz w:val="24"/>
      <w:szCs w:val="20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  <w:u w:val="none"/>
    </w:rPr>
  </w:style>
  <w:style w:type="character" w:customStyle="1" w:styleId="a5">
    <w:name w:val="Текст выноски Знак"/>
    <w:link w:val="a4"/>
    <w:uiPriority w:val="99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Pr>
      <w:rFonts w:eastAsia="Times New Roman"/>
      <w:sz w:val="24"/>
      <w:szCs w:val="20"/>
      <w:u w:val="none"/>
      <w:lang w:eastAsia="ru-RU"/>
    </w:rPr>
  </w:style>
  <w:style w:type="paragraph" w:styleId="a7">
    <w:name w:val="head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9">
    <w:name w:val="footer"/>
    <w:basedOn w:val="a"/>
    <w:link w:val="a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</w:style>
  <w:style w:type="paragraph" w:styleId="ab">
    <w:name w:val="endnote text"/>
    <w:basedOn w:val="a"/>
    <w:link w:val="ac"/>
    <w:uiPriority w:val="99"/>
    <w:semiHidden/>
    <w:unhideWhenUsed/>
    <w:pPr>
      <w:spacing w:after="0" w:line="240" w:lineRule="auto"/>
    </w:pPr>
    <w:rPr>
      <w:sz w:val="20"/>
      <w:szCs w:val="20"/>
      <w:u w:val="none"/>
    </w:rPr>
  </w:style>
  <w:style w:type="character" w:customStyle="1" w:styleId="ac">
    <w:name w:val="Текст концевой сноски Знак"/>
    <w:link w:val="ab"/>
    <w:uiPriority w:val="99"/>
    <w:semiHidden/>
    <w:rPr>
      <w:sz w:val="20"/>
      <w:szCs w:val="20"/>
    </w:rPr>
  </w:style>
  <w:style w:type="character" w:styleId="ad">
    <w:name w:val="endnote reference"/>
    <w:uiPriority w:val="99"/>
    <w:semiHidden/>
    <w:unhideWhenUsed/>
    <w:rPr>
      <w:vertAlign w:val="superscript"/>
    </w:rPr>
  </w:style>
  <w:style w:type="character" w:styleId="ae">
    <w:name w:val="page number"/>
    <w:basedOn w:val="a0"/>
  </w:style>
  <w:style w:type="paragraph" w:customStyle="1" w:styleId="af">
    <w:name w:val="Содержимое таблицы"/>
    <w:basedOn w:val="a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sz w:val="24"/>
      <w:szCs w:val="24"/>
      <w:u w:val="none"/>
      <w:lang w:eastAsia="ru-RU"/>
    </w:rPr>
  </w:style>
  <w:style w:type="paragraph" w:customStyle="1" w:styleId="Style4">
    <w:name w:val="Style4"/>
    <w:basedOn w:val="a"/>
    <w:uiPriority w:val="99"/>
    <w:pPr>
      <w:widowControl w:val="0"/>
      <w:autoSpaceDE w:val="0"/>
      <w:autoSpaceDN w:val="0"/>
      <w:adjustRightInd w:val="0"/>
      <w:spacing w:after="0" w:line="341" w:lineRule="exact"/>
    </w:pPr>
    <w:rPr>
      <w:rFonts w:ascii="Calibri" w:eastAsia="Times New Roman" w:hAnsi="Calibri"/>
      <w:sz w:val="24"/>
      <w:szCs w:val="24"/>
      <w:u w:val="none"/>
      <w:lang w:eastAsia="ru-RU"/>
    </w:rPr>
  </w:style>
  <w:style w:type="character" w:customStyle="1" w:styleId="FontStyle19">
    <w:name w:val="Font Style19"/>
    <w:uiPriority w:val="99"/>
    <w:rPr>
      <w:rFonts w:ascii="Calibri" w:hAnsi="Calibri" w:cs="Calibri"/>
      <w:color w:val="000000"/>
      <w:sz w:val="26"/>
      <w:szCs w:val="26"/>
    </w:rPr>
  </w:style>
  <w:style w:type="paragraph" w:styleId="af0">
    <w:name w:val="No Spacing"/>
    <w:uiPriority w:val="1"/>
    <w:qFormat/>
    <w:rPr>
      <w:sz w:val="22"/>
      <w:szCs w:val="22"/>
      <w:u w:val="single"/>
      <w:lang w:eastAsia="en-US"/>
    </w:rPr>
  </w:style>
  <w:style w:type="paragraph" w:styleId="af1">
    <w:name w:val="Body Text"/>
    <w:basedOn w:val="a"/>
    <w:link w:val="af2"/>
    <w:unhideWhenUsed/>
    <w:pPr>
      <w:spacing w:after="0" w:line="240" w:lineRule="auto"/>
    </w:pPr>
    <w:rPr>
      <w:rFonts w:eastAsia="Times New Roman"/>
      <w:b/>
      <w:sz w:val="28"/>
      <w:szCs w:val="20"/>
      <w:u w:val="none"/>
    </w:rPr>
  </w:style>
  <w:style w:type="character" w:customStyle="1" w:styleId="af2">
    <w:name w:val="Основной текст Знак"/>
    <w:link w:val="af1"/>
    <w:rPr>
      <w:rFonts w:eastAsia="Times New Roman"/>
      <w:b/>
      <w:sz w:val="28"/>
    </w:rPr>
  </w:style>
  <w:style w:type="paragraph" w:customStyle="1" w:styleId="af3">
    <w:name w:val="Текст в заданном формате"/>
    <w:basedOn w:val="a"/>
    <w:pPr>
      <w:widowControl w:val="0"/>
      <w:suppressAutoHyphens/>
      <w:spacing w:after="0" w:line="240" w:lineRule="auto"/>
    </w:pPr>
    <w:rPr>
      <w:rFonts w:ascii="DejaVu Sans Mono" w:eastAsia="DejaVu Sans Mono" w:hAnsi="DejaVu Sans Mono" w:cs="DejaVu Sans Mono"/>
      <w:sz w:val="20"/>
      <w:szCs w:val="20"/>
      <w:u w:val="none"/>
    </w:rPr>
  </w:style>
  <w:style w:type="paragraph" w:customStyle="1" w:styleId="af4">
    <w:name w:val="Базовый"/>
    <w:pPr>
      <w:tabs>
        <w:tab w:val="left" w:pos="709"/>
      </w:tabs>
      <w:suppressAutoHyphens/>
      <w:spacing w:after="200" w:line="276" w:lineRule="auto"/>
    </w:pPr>
    <w:rPr>
      <w:rFonts w:eastAsia="Times New Roman"/>
      <w:color w:val="00000A"/>
      <w:sz w:val="24"/>
      <w:szCs w:val="24"/>
      <w:lang w:eastAsia="zh-CN"/>
    </w:rPr>
  </w:style>
  <w:style w:type="character" w:customStyle="1" w:styleId="1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8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DB90-0FBE-496C-B89A-8EA689B5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2735</Words>
  <Characters>15596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Дирекция по развитию культуры Тазовского района</Company>
  <LinksUpToDate>false</LinksUpToDate>
  <CharactersWithSpaces>18295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Фадеева Алена Михайловна</cp:lastModifiedBy>
  <cp:revision>11</cp:revision>
  <cp:lastPrinted>2020-10-20T05:39:00Z</cp:lastPrinted>
  <dcterms:created xsi:type="dcterms:W3CDTF">2020-10-15T10:10:00Z</dcterms:created>
  <dcterms:modified xsi:type="dcterms:W3CDTF">2020-10-20T05:39:00Z</dcterms:modified>
</cp:coreProperties>
</file>