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tabs>
          <w:tab w:val="left" w:pos="540"/>
          <w:tab w:val="left" w:pos="900"/>
        </w:tabs>
        <w:suppressAutoHyphens/>
        <w:autoSpaceDE w:val="0"/>
        <w:spacing w:after="0" w:line="360" w:lineRule="auto"/>
        <w:ind w:left="4820"/>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УТВЕРЖДЕН</w:t>
      </w:r>
    </w:p>
    <w:p>
      <w:pPr>
        <w:widowControl w:val="0"/>
        <w:tabs>
          <w:tab w:val="left" w:pos="540"/>
          <w:tab w:val="left" w:pos="900"/>
        </w:tabs>
        <w:suppressAutoHyphens/>
        <w:autoSpaceDE w:val="0"/>
        <w:spacing w:after="0" w:line="240" w:lineRule="auto"/>
        <w:ind w:left="4820"/>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 xml:space="preserve">постановлением </w:t>
      </w:r>
    </w:p>
    <w:p>
      <w:pPr>
        <w:widowControl w:val="0"/>
        <w:tabs>
          <w:tab w:val="left" w:pos="540"/>
          <w:tab w:val="left" w:pos="900"/>
        </w:tabs>
        <w:suppressAutoHyphens/>
        <w:autoSpaceDE w:val="0"/>
        <w:spacing w:after="0" w:line="240" w:lineRule="auto"/>
        <w:ind w:left="4820"/>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Администрации Тазовского района</w:t>
      </w:r>
    </w:p>
    <w:p>
      <w:pPr>
        <w:widowControl w:val="0"/>
        <w:tabs>
          <w:tab w:val="left" w:pos="540"/>
          <w:tab w:val="left" w:pos="900"/>
        </w:tabs>
        <w:suppressAutoHyphens/>
        <w:autoSpaceDE w:val="0"/>
        <w:spacing w:after="0" w:line="240" w:lineRule="auto"/>
        <w:ind w:left="4820"/>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от 11 августа 2020 года № 633</w:t>
      </w:r>
      <w:bookmarkStart w:id="0" w:name="_GoBack"/>
      <w:bookmarkEnd w:id="0"/>
    </w:p>
    <w:p>
      <w:pPr>
        <w:pStyle w:val="ConsPlusTitle"/>
        <w:jc w:val="center"/>
        <w:rPr>
          <w:rFonts w:ascii="PT Astra Serif" w:hAnsi="PT Astra Serif"/>
          <w:sz w:val="28"/>
          <w:szCs w:val="28"/>
        </w:rPr>
      </w:pPr>
    </w:p>
    <w:p>
      <w:pPr>
        <w:pStyle w:val="ConsPlusTitle"/>
        <w:jc w:val="center"/>
        <w:rPr>
          <w:rFonts w:ascii="PT Astra Serif" w:hAnsi="PT Astra Serif"/>
          <w:sz w:val="28"/>
          <w:szCs w:val="28"/>
        </w:rPr>
      </w:pPr>
    </w:p>
    <w:p>
      <w:pPr>
        <w:pStyle w:val="ConsPlusTitle"/>
        <w:jc w:val="center"/>
        <w:rPr>
          <w:rFonts w:ascii="PT Astra Serif" w:hAnsi="PT Astra Serif"/>
          <w:sz w:val="28"/>
          <w:szCs w:val="28"/>
        </w:rPr>
      </w:pPr>
    </w:p>
    <w:p>
      <w:pPr>
        <w:pStyle w:val="ConsPlusTitle"/>
        <w:jc w:val="center"/>
        <w:rPr>
          <w:rFonts w:ascii="PT Astra Serif" w:hAnsi="PT Astra Serif"/>
          <w:sz w:val="28"/>
          <w:szCs w:val="28"/>
        </w:rPr>
      </w:pPr>
      <w:r>
        <w:rPr>
          <w:rFonts w:ascii="PT Astra Serif" w:hAnsi="PT Astra Serif"/>
          <w:sz w:val="28"/>
          <w:szCs w:val="28"/>
        </w:rPr>
        <w:t>ПОРЯДОК</w:t>
      </w:r>
    </w:p>
    <w:p>
      <w:pPr>
        <w:pStyle w:val="ConsPlusTitle"/>
        <w:jc w:val="center"/>
        <w:rPr>
          <w:rFonts w:ascii="PT Astra Serif" w:hAnsi="PT Astra Serif"/>
          <w:sz w:val="28"/>
          <w:szCs w:val="28"/>
        </w:rPr>
      </w:pPr>
      <w:r>
        <w:rPr>
          <w:rFonts w:ascii="PT Astra Serif" w:hAnsi="PT Astra Serif"/>
          <w:sz w:val="28"/>
          <w:szCs w:val="28"/>
        </w:rPr>
        <w:t xml:space="preserve">предоставления и распределения иных межбюджетных трансфертов </w:t>
      </w:r>
    </w:p>
    <w:p>
      <w:pPr>
        <w:pStyle w:val="ConsPlusTitle"/>
        <w:jc w:val="center"/>
        <w:rPr>
          <w:rFonts w:ascii="PT Astra Serif" w:hAnsi="PT Astra Serif"/>
          <w:sz w:val="28"/>
          <w:szCs w:val="28"/>
        </w:rPr>
      </w:pPr>
      <w:r>
        <w:rPr>
          <w:rFonts w:ascii="PT Astra Serif" w:hAnsi="PT Astra Serif"/>
          <w:sz w:val="28"/>
          <w:szCs w:val="28"/>
        </w:rPr>
        <w:t xml:space="preserve">из бюджета муниципального образования Тазовский район </w:t>
      </w:r>
    </w:p>
    <w:p>
      <w:pPr>
        <w:pStyle w:val="ConsPlusTitle"/>
        <w:jc w:val="center"/>
        <w:rPr>
          <w:rFonts w:ascii="PT Astra Serif" w:hAnsi="PT Astra Serif"/>
          <w:sz w:val="28"/>
          <w:szCs w:val="28"/>
        </w:rPr>
      </w:pPr>
      <w:r>
        <w:rPr>
          <w:rFonts w:ascii="PT Astra Serif" w:hAnsi="PT Astra Serif"/>
          <w:sz w:val="28"/>
          <w:szCs w:val="28"/>
        </w:rPr>
        <w:t xml:space="preserve">бюджетам поселений, входящих в состав Тазовского района в целях софинансирования расходных обязательств, возникающих </w:t>
      </w:r>
    </w:p>
    <w:p>
      <w:pPr>
        <w:pStyle w:val="ConsPlusTitle"/>
        <w:jc w:val="center"/>
        <w:rPr>
          <w:rFonts w:ascii="PT Astra Serif" w:hAnsi="PT Astra Serif"/>
          <w:sz w:val="28"/>
          <w:szCs w:val="28"/>
        </w:rPr>
      </w:pPr>
      <w:r>
        <w:rPr>
          <w:rFonts w:ascii="PT Astra Serif" w:hAnsi="PT Astra Serif"/>
          <w:sz w:val="28"/>
          <w:szCs w:val="28"/>
        </w:rPr>
        <w:t xml:space="preserve">при выполнении полномочий органов местного самоуправления </w:t>
      </w:r>
    </w:p>
    <w:p>
      <w:pPr>
        <w:pStyle w:val="ConsPlusTitle"/>
        <w:jc w:val="center"/>
        <w:rPr>
          <w:rFonts w:ascii="PT Astra Serif" w:hAnsi="PT Astra Serif"/>
          <w:sz w:val="28"/>
          <w:szCs w:val="28"/>
        </w:rPr>
      </w:pPr>
      <w:r>
        <w:rPr>
          <w:rFonts w:ascii="PT Astra Serif" w:hAnsi="PT Astra Serif"/>
          <w:sz w:val="28"/>
          <w:szCs w:val="28"/>
        </w:rPr>
        <w:t xml:space="preserve">в области владения, пользования и распоряжения имуществом, находящимся в муниципальной собственности в рамках реализации мероприятий по приобретению жилых помещений для предоставления гражданам по договору социального найма (мены) жилого помещения, выплате возмещения собственникам за изымаемые жилые помещения </w:t>
      </w:r>
    </w:p>
    <w:p>
      <w:pPr>
        <w:pStyle w:val="ConsPlusTitle"/>
        <w:jc w:val="center"/>
        <w:rPr>
          <w:rFonts w:ascii="PT Astra Serif" w:hAnsi="PT Astra Serif"/>
          <w:sz w:val="28"/>
          <w:szCs w:val="28"/>
        </w:rPr>
      </w:pPr>
      <w:r>
        <w:rPr>
          <w:rFonts w:ascii="PT Astra Serif" w:hAnsi="PT Astra Serif"/>
          <w:sz w:val="28"/>
          <w:szCs w:val="28"/>
        </w:rPr>
        <w:t xml:space="preserve">в рамках мероприятий по расселению жилищного фонда, </w:t>
      </w:r>
    </w:p>
    <w:p>
      <w:pPr>
        <w:pStyle w:val="ConsPlusTitle"/>
        <w:jc w:val="center"/>
        <w:rPr>
          <w:rFonts w:ascii="PT Astra Serif" w:hAnsi="PT Astra Serif"/>
          <w:sz w:val="28"/>
          <w:szCs w:val="28"/>
        </w:rPr>
      </w:pPr>
      <w:r>
        <w:rPr>
          <w:rFonts w:ascii="PT Astra Serif" w:hAnsi="PT Astra Serif"/>
          <w:sz w:val="28"/>
          <w:szCs w:val="28"/>
        </w:rPr>
        <w:t>признанного непригодным для проживания после 01 января 2017 года</w:t>
      </w:r>
    </w:p>
    <w:p>
      <w:pPr>
        <w:spacing w:after="1" w:line="240" w:lineRule="auto"/>
        <w:jc w:val="center"/>
        <w:rPr>
          <w:rFonts w:ascii="PT Astra Serif" w:hAnsi="PT Astra Serif"/>
          <w:sz w:val="28"/>
          <w:szCs w:val="28"/>
        </w:rPr>
      </w:pPr>
    </w:p>
    <w:p>
      <w:pPr>
        <w:pStyle w:val="ConsPlusNormal"/>
        <w:jc w:val="center"/>
        <w:outlineLvl w:val="0"/>
        <w:rPr>
          <w:rFonts w:ascii="PT Astra Serif" w:hAnsi="PT Astra Serif"/>
          <w:sz w:val="28"/>
          <w:szCs w:val="28"/>
        </w:rPr>
      </w:pPr>
    </w:p>
    <w:p>
      <w:pPr>
        <w:pStyle w:val="ConsPlusTitle"/>
        <w:numPr>
          <w:ilvl w:val="0"/>
          <w:numId w:val="4"/>
        </w:numPr>
        <w:tabs>
          <w:tab w:val="left" w:pos="0"/>
          <w:tab w:val="left" w:pos="426"/>
        </w:tabs>
        <w:ind w:left="0" w:firstLine="0"/>
        <w:jc w:val="center"/>
        <w:outlineLvl w:val="0"/>
        <w:rPr>
          <w:rFonts w:ascii="PT Astra Serif" w:hAnsi="PT Astra Serif"/>
          <w:sz w:val="28"/>
          <w:szCs w:val="28"/>
        </w:rPr>
      </w:pPr>
      <w:r>
        <w:rPr>
          <w:rFonts w:ascii="PT Astra Serif" w:hAnsi="PT Astra Serif"/>
          <w:sz w:val="28"/>
          <w:szCs w:val="28"/>
        </w:rPr>
        <w:t>Общие положения</w:t>
      </w:r>
    </w:p>
    <w:p>
      <w:pPr>
        <w:pStyle w:val="ConsPlusNormal"/>
        <w:tabs>
          <w:tab w:val="left" w:pos="1276"/>
        </w:tabs>
        <w:jc w:val="center"/>
        <w:rPr>
          <w:rFonts w:ascii="PT Astra Serif" w:hAnsi="PT Astra Serif"/>
          <w:sz w:val="28"/>
          <w:szCs w:val="28"/>
        </w:rPr>
      </w:pP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 xml:space="preserve">Порядок предоставления и распределения иных межбюджетных трансфертов из бюджета муниципального образования Тазовский район бюджетам поселений, входящих в состав Тазовского района, в целях софинансирования расходных обязательств, возникающих при выполнении полномочий органов местного самоуправления в области владения, пользования и распоряжения имуществом, находящимся в муниципальной собственности, в рамках реализации мероприятий по приобретению жилых помещений для предоставления гражданам по договору социального найма (мены) жилого помещения, выплате возмещения собственникам за изымаемые жилые помещения в рамках мероприятий по расселению жилищного фонда, признанного непригодным для проживания после 01 января 2017 года                       (далее – Порядок), разработан в соответствии с Порядком предоставления                       и распределения иных межбюджетных трансфертов из окружного бюджета бюджетам муниципальных образований в Ямало-Ненецком автономном округе в целях софинансирования расходных обязательств, возникающих                                   при выполнении полномочий органов местного самоуправления в области владения, пользования и распоряжения имуществом, находящимся                                             в муниципальной собственности муниципального образования в рамках реализации мероприятий по приобретению жилых помещений                                    для предоставления гражданам по договору социального найма (мены) жилого </w:t>
      </w:r>
      <w:r>
        <w:rPr>
          <w:rFonts w:ascii="PT Astra Serif" w:hAnsi="PT Astra Serif"/>
          <w:sz w:val="28"/>
          <w:szCs w:val="28"/>
        </w:rPr>
        <w:lastRenderedPageBreak/>
        <w:t>помещения, выплате возмещения собственникам за изымаемые жилые помещения в рамках мероприятий по расселению жилищного фонда, признанного непригодным для проживания после 01 января 2017 года (приложение № 11 к государственной программе Ямало-Ненецкого автономного округа «Обеспечение доступным и комфортным жильем населения на 2014 - 2025 годы», утвержденной постановлением Правительства Ямало-Ненецкого автономного округа от 25 декабря 2013 года № 1099-П)                       и определяет механизм предоставления и распределения иных межбюджетных трансфертов из бюджета муниципального образования Тазовский район, выделенных бюджетам поселений, входящих в состав Тазовского района                  (далее - поселения), в соответствии детализированным перечнем мероприятий подпрограмм муниципальной программы Тазовского района «Обеспечение качественным жильем и услугами жилищно-коммунального хозяйства на 2015 - 2025 годы», утвержденной постановлением Администрации Тазовского района                                от 09 декабря 2014 года № 581 (далее – муниципальная программа), на решение отдельных вопросов местного значения в области владения, пользования                        и распоряжения имуществом, находящимся в муниципальной собственности                    в рамках реализации мероприятий по приобретению жилых помещений                         для предоставления гражданам по договору социального найма (мены) жилого помещения, выплате возмещения собственникам за изымаемые жилые помещения в рамках мероприятий по расселению жилищного фонда, признанного непригодным для проживания после 01 января 2017 года.</w:t>
      </w: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Уполномоченным органом в рамках настоящего Порядка является Управление коммуникаций, строительства и жилищной политики Администрации Тазовского района.</w:t>
      </w:r>
    </w:p>
    <w:p>
      <w:pPr>
        <w:pStyle w:val="ConsPlusNormal"/>
        <w:numPr>
          <w:ilvl w:val="1"/>
          <w:numId w:val="4"/>
        </w:numPr>
        <w:tabs>
          <w:tab w:val="left" w:pos="1418"/>
        </w:tabs>
        <w:ind w:left="0" w:firstLine="709"/>
        <w:jc w:val="both"/>
        <w:rPr>
          <w:rFonts w:ascii="PT Astra Serif" w:hAnsi="PT Astra Serif"/>
          <w:sz w:val="28"/>
          <w:szCs w:val="28"/>
        </w:rPr>
      </w:pPr>
      <w:bookmarkStart w:id="1" w:name="P21"/>
      <w:bookmarkEnd w:id="1"/>
      <w:r>
        <w:rPr>
          <w:rFonts w:ascii="PT Astra Serif" w:hAnsi="PT Astra Serif"/>
          <w:sz w:val="28"/>
          <w:szCs w:val="28"/>
        </w:rPr>
        <w:t xml:space="preserve">Целью предоставления иных межбюджетных трансфертов является софинансирование расходных обязательств, возникающих при выполнении полномочий органами местного самоуправления по вопросам местного значения в области владения, пользования и распоряжения муниципальным имуществом, в отношении аварийного жилищного фонда, признанного таковым в установленном порядке после 01 января 2017 года, по приобретению жилых помещений для переселения граждан, проживающих в аварийном жилищном фонде, и предоставлению возмещений собственникам за изымаемые жилые помещения аварийного жилищного фонда (далее - расходное обязательство) в соответствии с реестрами аварийных домов, планируемых                       к расселению в рамках мероприятий по решению отдельных вопросов местного значения в области владения, пользования и распоряжения муниципальным имуществом (далее - реестр), утвержденными муниципальными образованиями, по форме согласно </w:t>
      </w:r>
      <w:hyperlink w:anchor="P133" w:history="1">
        <w:r>
          <w:rPr>
            <w:rFonts w:ascii="PT Astra Serif" w:hAnsi="PT Astra Serif"/>
            <w:sz w:val="28"/>
            <w:szCs w:val="28"/>
          </w:rPr>
          <w:t>приложению № 1</w:t>
        </w:r>
      </w:hyperlink>
      <w:r>
        <w:rPr>
          <w:rFonts w:ascii="PT Astra Serif" w:hAnsi="PT Astra Serif"/>
          <w:sz w:val="28"/>
          <w:szCs w:val="28"/>
        </w:rPr>
        <w:t xml:space="preserve"> к настоящему Порядку,                               а также в соответствии с перечнями жилых помещений, подлежащих расселению в рамках реализации настоящего Порядка (далее - перечень),                        по форме согласно </w:t>
      </w:r>
      <w:hyperlink w:anchor="P186" w:history="1">
        <w:r>
          <w:rPr>
            <w:rFonts w:ascii="PT Astra Serif" w:hAnsi="PT Astra Serif"/>
            <w:sz w:val="28"/>
            <w:szCs w:val="28"/>
          </w:rPr>
          <w:t>приложению № 2</w:t>
        </w:r>
      </w:hyperlink>
      <w:r>
        <w:rPr>
          <w:rFonts w:ascii="PT Astra Serif" w:hAnsi="PT Astra Serif"/>
          <w:sz w:val="28"/>
          <w:szCs w:val="28"/>
        </w:rPr>
        <w:t xml:space="preserve"> к настоящему Порядку.</w:t>
      </w:r>
    </w:p>
    <w:p>
      <w:pPr>
        <w:pStyle w:val="ConsPlusNormal"/>
        <w:numPr>
          <w:ilvl w:val="1"/>
          <w:numId w:val="4"/>
        </w:numPr>
        <w:tabs>
          <w:tab w:val="left" w:pos="1276"/>
        </w:tabs>
        <w:ind w:left="0" w:firstLine="709"/>
        <w:jc w:val="both"/>
        <w:rPr>
          <w:rFonts w:ascii="PT Astra Serif" w:hAnsi="PT Astra Serif"/>
          <w:sz w:val="28"/>
          <w:szCs w:val="28"/>
        </w:rPr>
      </w:pPr>
      <w:r>
        <w:rPr>
          <w:rFonts w:ascii="PT Astra Serif" w:hAnsi="PT Astra Serif"/>
          <w:sz w:val="28"/>
          <w:szCs w:val="28"/>
        </w:rPr>
        <w:t xml:space="preserve">Включению в перечень подлежат жилые помещения, расселение которых планируется осуществлять в рамках реализации мероприятий </w:t>
      </w:r>
      <w:r>
        <w:rPr>
          <w:rFonts w:ascii="PT Astra Serif" w:hAnsi="PT Astra Serif"/>
          <w:sz w:val="28"/>
          <w:szCs w:val="28"/>
        </w:rPr>
        <w:lastRenderedPageBreak/>
        <w:t xml:space="preserve">Комплексной </w:t>
      </w:r>
      <w:hyperlink r:id="rId7" w:history="1">
        <w:r>
          <w:rPr>
            <w:rFonts w:ascii="PT Astra Serif" w:hAnsi="PT Astra Serif"/>
            <w:sz w:val="28"/>
            <w:szCs w:val="28"/>
          </w:rPr>
          <w:t>программы</w:t>
        </w:r>
      </w:hyperlink>
      <w:r>
        <w:rPr>
          <w:rFonts w:ascii="PT Astra Serif" w:hAnsi="PT Astra Serif"/>
          <w:sz w:val="28"/>
          <w:szCs w:val="28"/>
        </w:rPr>
        <w:t xml:space="preserve"> по переселению граждан из аварийного жилищного фонда, утвержденной постановлением Правительства автономного округа                          от 11 февраля 2020 года № 112-П (далее - Комплексная программа),                               и включенные в </w:t>
      </w:r>
      <w:hyperlink r:id="rId8" w:history="1">
        <w:r>
          <w:rPr>
            <w:rFonts w:ascii="PT Astra Serif" w:hAnsi="PT Astra Serif"/>
            <w:sz w:val="28"/>
            <w:szCs w:val="28"/>
          </w:rPr>
          <w:t>перечень</w:t>
        </w:r>
      </w:hyperlink>
      <w:r>
        <w:rPr>
          <w:rFonts w:ascii="PT Astra Serif" w:hAnsi="PT Astra Serif"/>
          <w:sz w:val="28"/>
          <w:szCs w:val="28"/>
        </w:rPr>
        <w:t xml:space="preserve"> домов, расположенных на территории автономного округа, подлежащих расселению в период 2019 - 2025 годов, являющийся приложением № 1 к Комплексной программе.</w:t>
      </w: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Иные межбюджетные трансферты направлена на достижение цели по переселению граждан из аварийных домов путем реализации муниципальных программ, соответствующих Подпрограмме.</w:t>
      </w: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Иные межбюджетные трансферты, выделенные бюджетам муниципальных образований, предоставляются по разделу «Жилищно-коммунальное хозяйство», подразделу «Жилищное хозяйство» классификации расходов бюджетов программной части расходов окружного бюджета                             на предоставление иных межбюджетных трансфертов на решение отдельных вопросов местного значения в области владения, пользования и распоряжения муниципальным имуществом.</w:t>
      </w:r>
    </w:p>
    <w:p>
      <w:pPr>
        <w:pStyle w:val="ConsPlusNormal"/>
        <w:tabs>
          <w:tab w:val="left" w:pos="0"/>
        </w:tabs>
        <w:jc w:val="center"/>
        <w:rPr>
          <w:rFonts w:ascii="PT Astra Serif" w:hAnsi="PT Astra Serif"/>
          <w:sz w:val="28"/>
          <w:szCs w:val="28"/>
        </w:rPr>
      </w:pPr>
    </w:p>
    <w:p>
      <w:pPr>
        <w:pStyle w:val="ConsPlusTitle"/>
        <w:numPr>
          <w:ilvl w:val="0"/>
          <w:numId w:val="4"/>
        </w:numPr>
        <w:tabs>
          <w:tab w:val="left" w:pos="0"/>
          <w:tab w:val="left" w:pos="426"/>
        </w:tabs>
        <w:ind w:left="0" w:firstLine="0"/>
        <w:jc w:val="center"/>
        <w:outlineLvl w:val="0"/>
        <w:rPr>
          <w:rFonts w:ascii="PT Astra Serif" w:hAnsi="PT Astra Serif"/>
          <w:sz w:val="28"/>
          <w:szCs w:val="28"/>
        </w:rPr>
      </w:pPr>
      <w:r>
        <w:rPr>
          <w:rFonts w:ascii="PT Astra Serif" w:hAnsi="PT Astra Serif"/>
          <w:sz w:val="28"/>
          <w:szCs w:val="28"/>
        </w:rPr>
        <w:t xml:space="preserve">Условия предоставления и расходования иных </w:t>
      </w:r>
    </w:p>
    <w:p>
      <w:pPr>
        <w:pStyle w:val="ConsPlusTitle"/>
        <w:tabs>
          <w:tab w:val="left" w:pos="0"/>
        </w:tabs>
        <w:jc w:val="center"/>
        <w:outlineLvl w:val="0"/>
        <w:rPr>
          <w:rFonts w:ascii="PT Astra Serif" w:hAnsi="PT Astra Serif"/>
          <w:sz w:val="28"/>
          <w:szCs w:val="28"/>
        </w:rPr>
      </w:pPr>
      <w:r>
        <w:rPr>
          <w:rFonts w:ascii="PT Astra Serif" w:hAnsi="PT Astra Serif"/>
          <w:sz w:val="28"/>
          <w:szCs w:val="28"/>
        </w:rPr>
        <w:t>межбюджетных трансфертов</w:t>
      </w:r>
    </w:p>
    <w:p>
      <w:pPr>
        <w:pStyle w:val="ConsPlusNormal"/>
        <w:tabs>
          <w:tab w:val="left" w:pos="0"/>
        </w:tabs>
        <w:jc w:val="center"/>
        <w:rPr>
          <w:rFonts w:ascii="PT Astra Serif" w:hAnsi="PT Astra Serif"/>
          <w:sz w:val="28"/>
          <w:szCs w:val="28"/>
        </w:rPr>
      </w:pP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Иные межбюджетные трансферты предоставляются при условиях:</w:t>
      </w:r>
    </w:p>
    <w:p>
      <w:pPr>
        <w:pStyle w:val="ConsPlusNormal"/>
        <w:numPr>
          <w:ilvl w:val="2"/>
          <w:numId w:val="7"/>
        </w:numPr>
        <w:tabs>
          <w:tab w:val="left" w:pos="1560"/>
        </w:tabs>
        <w:ind w:left="0" w:firstLine="709"/>
        <w:jc w:val="both"/>
        <w:rPr>
          <w:rFonts w:ascii="PT Astra Serif" w:hAnsi="PT Astra Serif"/>
          <w:sz w:val="28"/>
          <w:szCs w:val="28"/>
        </w:rPr>
      </w:pPr>
      <w:r>
        <w:rPr>
          <w:rFonts w:ascii="PT Astra Serif" w:hAnsi="PT Astra Serif"/>
          <w:sz w:val="28"/>
          <w:szCs w:val="28"/>
        </w:rPr>
        <w:t xml:space="preserve">Уровень софинансирования расходных обязательств поселений                 из бюджета муниципального образования Тазовский район от объема бюджетных ассигнований на исполнение расходного обязательства, предусмотренного в бюджете поселений, в целях софинансирования                            которого предоставляется иные межбюджетные трансферты, должен составлять не менее 1 %. </w:t>
      </w:r>
    </w:p>
    <w:p>
      <w:pPr>
        <w:pStyle w:val="ConsPlusNormal"/>
        <w:numPr>
          <w:ilvl w:val="2"/>
          <w:numId w:val="7"/>
        </w:numPr>
        <w:tabs>
          <w:tab w:val="left" w:pos="1560"/>
        </w:tabs>
        <w:ind w:left="0" w:firstLine="709"/>
        <w:jc w:val="both"/>
        <w:rPr>
          <w:rFonts w:ascii="PT Astra Serif" w:hAnsi="PT Astra Serif"/>
          <w:sz w:val="28"/>
          <w:szCs w:val="28"/>
        </w:rPr>
      </w:pPr>
      <w:r>
        <w:rPr>
          <w:rFonts w:ascii="PT Astra Serif" w:hAnsi="PT Astra Serif"/>
          <w:sz w:val="28"/>
          <w:szCs w:val="28"/>
        </w:rPr>
        <w:t>заключения соглашения о предоставлении иных межбюджетных трансфертов.</w:t>
      </w:r>
    </w:p>
    <w:p>
      <w:pPr>
        <w:pStyle w:val="ConsPlusNormal"/>
        <w:numPr>
          <w:ilvl w:val="1"/>
          <w:numId w:val="7"/>
        </w:numPr>
        <w:tabs>
          <w:tab w:val="left" w:pos="1418"/>
        </w:tabs>
        <w:ind w:left="0" w:firstLine="709"/>
        <w:jc w:val="both"/>
        <w:rPr>
          <w:rFonts w:ascii="PT Astra Serif" w:hAnsi="PT Astra Serif"/>
          <w:sz w:val="28"/>
          <w:szCs w:val="28"/>
        </w:rPr>
      </w:pPr>
      <w:r>
        <w:rPr>
          <w:rFonts w:ascii="PT Astra Serif" w:hAnsi="PT Astra Serif"/>
          <w:sz w:val="28"/>
          <w:szCs w:val="28"/>
        </w:rPr>
        <w:t>Условия расходования иных межбюджетных трансфертов:</w:t>
      </w:r>
    </w:p>
    <w:p>
      <w:pPr>
        <w:pStyle w:val="ConsPlusNormal"/>
        <w:numPr>
          <w:ilvl w:val="2"/>
          <w:numId w:val="8"/>
        </w:numPr>
        <w:tabs>
          <w:tab w:val="left" w:pos="1560"/>
        </w:tabs>
        <w:ind w:left="0" w:firstLine="709"/>
        <w:jc w:val="both"/>
        <w:rPr>
          <w:rFonts w:ascii="PT Astra Serif" w:hAnsi="PT Astra Serif"/>
          <w:sz w:val="28"/>
          <w:szCs w:val="28"/>
        </w:rPr>
      </w:pPr>
      <w:r>
        <w:rPr>
          <w:rFonts w:ascii="PT Astra Serif" w:hAnsi="PT Astra Serif"/>
          <w:sz w:val="28"/>
          <w:szCs w:val="28"/>
        </w:rPr>
        <w:t xml:space="preserve">расходование иных межбюджетных трансфертов поселениями осуществляется в соответствии с Федеральным </w:t>
      </w:r>
      <w:hyperlink r:id="rId9" w:history="1">
        <w:r>
          <w:rPr>
            <w:rFonts w:ascii="PT Astra Serif" w:hAnsi="PT Astra Serif"/>
            <w:sz w:val="28"/>
            <w:szCs w:val="28"/>
          </w:rPr>
          <w:t>законом</w:t>
        </w:r>
      </w:hyperlink>
      <w:r>
        <w:rPr>
          <w:rFonts w:ascii="PT Astra Serif" w:hAnsi="PT Astra Serif"/>
          <w:sz w:val="28"/>
          <w:szCs w:val="28"/>
        </w:rPr>
        <w:t xml:space="preserve"> от 05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p>
      <w:pPr>
        <w:pStyle w:val="ConsPlusNormal"/>
        <w:numPr>
          <w:ilvl w:val="2"/>
          <w:numId w:val="8"/>
        </w:numPr>
        <w:tabs>
          <w:tab w:val="left" w:pos="1560"/>
        </w:tabs>
        <w:ind w:left="0" w:firstLine="709"/>
        <w:jc w:val="both"/>
        <w:rPr>
          <w:rFonts w:ascii="PT Astra Serif" w:hAnsi="PT Astra Serif"/>
          <w:sz w:val="28"/>
          <w:szCs w:val="28"/>
        </w:rPr>
      </w:pPr>
      <w:r>
        <w:rPr>
          <w:rFonts w:ascii="PT Astra Serif" w:hAnsi="PT Astra Serif"/>
          <w:sz w:val="28"/>
          <w:szCs w:val="28"/>
        </w:rPr>
        <w:t xml:space="preserve">площадь приобретаемых жилых помещений определяется                               в соответствии со </w:t>
      </w:r>
      <w:hyperlink r:id="rId10" w:history="1">
        <w:r>
          <w:rPr>
            <w:rFonts w:ascii="PT Astra Serif" w:hAnsi="PT Astra Serif"/>
            <w:sz w:val="28"/>
            <w:szCs w:val="28"/>
          </w:rPr>
          <w:t>статьями 28-3</w:t>
        </w:r>
      </w:hyperlink>
      <w:r>
        <w:rPr>
          <w:rFonts w:ascii="PT Astra Serif" w:hAnsi="PT Astra Serif"/>
          <w:sz w:val="28"/>
          <w:szCs w:val="28"/>
        </w:rPr>
        <w:t xml:space="preserve">, </w:t>
      </w:r>
      <w:hyperlink r:id="rId11" w:history="1">
        <w:r>
          <w:rPr>
            <w:rFonts w:ascii="PT Astra Serif" w:hAnsi="PT Astra Serif"/>
            <w:sz w:val="28"/>
            <w:szCs w:val="28"/>
          </w:rPr>
          <w:t>28-5</w:t>
        </w:r>
      </w:hyperlink>
      <w:r>
        <w:rPr>
          <w:rFonts w:ascii="PT Astra Serif" w:hAnsi="PT Astra Serif"/>
          <w:sz w:val="28"/>
          <w:szCs w:val="28"/>
        </w:rPr>
        <w:t xml:space="preserve"> Закона автономного округа от 30 мая 2005 года № 36-ЗАО «О порядке обеспечения жилыми помещениями граждан, проживающих в Ямало-Ненецком автономном округе» (далее - Закон                                № 36-ЗАО);</w:t>
      </w:r>
    </w:p>
    <w:p>
      <w:pPr>
        <w:pStyle w:val="ConsPlusNormal"/>
        <w:numPr>
          <w:ilvl w:val="2"/>
          <w:numId w:val="8"/>
        </w:numPr>
        <w:tabs>
          <w:tab w:val="left" w:pos="1560"/>
        </w:tabs>
        <w:ind w:left="0" w:firstLine="709"/>
        <w:jc w:val="both"/>
        <w:rPr>
          <w:rFonts w:ascii="PT Astra Serif" w:hAnsi="PT Astra Serif"/>
          <w:sz w:val="28"/>
          <w:szCs w:val="28"/>
        </w:rPr>
      </w:pPr>
      <w:r>
        <w:rPr>
          <w:rFonts w:ascii="PT Astra Serif" w:hAnsi="PT Astra Serif"/>
          <w:sz w:val="28"/>
          <w:szCs w:val="28"/>
        </w:rPr>
        <w:t xml:space="preserve">выкуп жилых помещений у собственников путем предоставления возмещений за изымаемые жилые помещения аварийного жилищного фонда осуществляется в соответствии со </w:t>
      </w:r>
      <w:hyperlink r:id="rId12" w:history="1">
        <w:r>
          <w:rPr>
            <w:rFonts w:ascii="PT Astra Serif" w:hAnsi="PT Astra Serif"/>
            <w:sz w:val="28"/>
            <w:szCs w:val="28"/>
          </w:rPr>
          <w:t>статьей 28-2</w:t>
        </w:r>
      </w:hyperlink>
      <w:r>
        <w:rPr>
          <w:rFonts w:ascii="PT Astra Serif" w:hAnsi="PT Astra Serif"/>
          <w:sz w:val="28"/>
          <w:szCs w:val="28"/>
        </w:rPr>
        <w:t xml:space="preserve"> Закона N 36-ЗАО;</w:t>
      </w:r>
    </w:p>
    <w:p>
      <w:pPr>
        <w:pStyle w:val="ConsPlusNormal"/>
        <w:numPr>
          <w:ilvl w:val="2"/>
          <w:numId w:val="8"/>
        </w:numPr>
        <w:tabs>
          <w:tab w:val="left" w:pos="1560"/>
        </w:tabs>
        <w:ind w:left="0" w:firstLine="709"/>
        <w:jc w:val="both"/>
        <w:rPr>
          <w:rFonts w:ascii="PT Astra Serif" w:hAnsi="PT Astra Serif"/>
          <w:sz w:val="28"/>
          <w:szCs w:val="28"/>
        </w:rPr>
      </w:pPr>
      <w:r>
        <w:rPr>
          <w:rFonts w:ascii="PT Astra Serif" w:hAnsi="PT Astra Serif"/>
          <w:sz w:val="28"/>
          <w:szCs w:val="28"/>
        </w:rPr>
        <w:t xml:space="preserve">приобретаемые жилые помещения в соответствии                                        </w:t>
      </w:r>
      <w:r>
        <w:rPr>
          <w:rFonts w:ascii="PT Astra Serif" w:hAnsi="PT Astra Serif"/>
          <w:sz w:val="28"/>
          <w:szCs w:val="28"/>
        </w:rPr>
        <w:lastRenderedPageBreak/>
        <w:t xml:space="preserve">со </w:t>
      </w:r>
      <w:hyperlink r:id="rId13" w:history="1">
        <w:r>
          <w:rPr>
            <w:rFonts w:ascii="PT Astra Serif" w:hAnsi="PT Astra Serif"/>
            <w:sz w:val="28"/>
            <w:szCs w:val="28"/>
          </w:rPr>
          <w:t>статьями 28-1</w:t>
        </w:r>
      </w:hyperlink>
      <w:r>
        <w:rPr>
          <w:rFonts w:ascii="PT Astra Serif" w:hAnsi="PT Astra Serif"/>
          <w:sz w:val="28"/>
          <w:szCs w:val="28"/>
        </w:rPr>
        <w:t xml:space="preserve">, </w:t>
      </w:r>
      <w:hyperlink r:id="rId14" w:history="1">
        <w:r>
          <w:rPr>
            <w:rFonts w:ascii="PT Astra Serif" w:hAnsi="PT Astra Serif"/>
            <w:sz w:val="28"/>
            <w:szCs w:val="28"/>
          </w:rPr>
          <w:t>28-4</w:t>
        </w:r>
      </w:hyperlink>
      <w:r>
        <w:rPr>
          <w:rFonts w:ascii="PT Astra Serif" w:hAnsi="PT Astra Serif"/>
          <w:sz w:val="28"/>
          <w:szCs w:val="28"/>
        </w:rPr>
        <w:t xml:space="preserve"> Закона 36-ЗАО должны быть благоустроенными применительно к условиям соответствующего населенного пункта, отвечать установленным санитарным и техническим требованиям и находиться                                 в границах данного населенного пункта;</w:t>
      </w:r>
    </w:p>
    <w:p>
      <w:pPr>
        <w:pStyle w:val="ConsPlusNormal"/>
        <w:numPr>
          <w:ilvl w:val="2"/>
          <w:numId w:val="8"/>
        </w:numPr>
        <w:tabs>
          <w:tab w:val="left" w:pos="1560"/>
        </w:tabs>
        <w:ind w:left="0" w:firstLine="709"/>
        <w:jc w:val="both"/>
        <w:rPr>
          <w:rFonts w:ascii="PT Astra Serif" w:hAnsi="PT Astra Serif"/>
          <w:sz w:val="28"/>
          <w:szCs w:val="28"/>
        </w:rPr>
      </w:pPr>
      <w:r>
        <w:rPr>
          <w:rFonts w:ascii="PT Astra Serif" w:hAnsi="PT Astra Serif"/>
          <w:sz w:val="28"/>
          <w:szCs w:val="28"/>
        </w:rPr>
        <w:t>стоимость одного квадратного метра общей площади жилого помещения, приобретаемого в муниципальную собственность на первичном или вторичном рынке жилья, не может превышать средней рыночной стоимости одного квадратного метра жилых помещений соответственно                        на первичном или вторичном рынке жилья в поселении, определяемой                                     в соответствии с постановлением Правительства автономного округа                                на текущий квартал «Об утверждении средней рыночной стоимости одного квадратного метра общей площади жилых помещений в муниципальных образованиях в Ямало-Ненецком автономном округе» (далее - постановление                         о рыночной стоимости).</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Стоимость одного квадратного метра общей площади жилого помещения, за которое предоставляется возмещение собственнику за счет средств иных межбюджетных трансфертов, применяемая для расчета иных межбюджетных трансфертов, не может превышать средней рыночной стоимости одного квадратного метра жилых помещений на вторичном рынке в поселении, определяемой в соответствии с постановлением о рыночной стоимости.</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В случае превышения стоимости одного квадратного метра общей площади жилого помещения, приобретаемого в муниципальную собственность, или стоимости одного квадратного метра общей площади жилого помещения, за которое предоставляется возмещение собственнику за счет средств иных межбюджетных трансфертов, по отношению к средней рыночной стоимости одного квадратного метра жилых помещений, определяемой в соответствии                       с постановлением о рыночной стоимости, разница в стоимости оплачивается                     за счет средств местного бюджета поселения.</w:t>
      </w:r>
    </w:p>
    <w:p>
      <w:pPr>
        <w:pStyle w:val="ConsPlusNormal"/>
        <w:tabs>
          <w:tab w:val="left" w:pos="0"/>
        </w:tabs>
        <w:jc w:val="center"/>
        <w:rPr>
          <w:rFonts w:ascii="PT Astra Serif" w:hAnsi="PT Astra Serif"/>
          <w:sz w:val="28"/>
          <w:szCs w:val="28"/>
        </w:rPr>
      </w:pPr>
    </w:p>
    <w:p>
      <w:pPr>
        <w:pStyle w:val="ConsPlusTitle"/>
        <w:numPr>
          <w:ilvl w:val="0"/>
          <w:numId w:val="4"/>
        </w:numPr>
        <w:tabs>
          <w:tab w:val="left" w:pos="0"/>
          <w:tab w:val="left" w:pos="567"/>
        </w:tabs>
        <w:ind w:left="0" w:firstLine="0"/>
        <w:jc w:val="center"/>
        <w:outlineLvl w:val="0"/>
        <w:rPr>
          <w:rFonts w:ascii="PT Astra Serif" w:hAnsi="PT Astra Serif"/>
          <w:sz w:val="28"/>
          <w:szCs w:val="28"/>
        </w:rPr>
      </w:pPr>
      <w:r>
        <w:rPr>
          <w:rFonts w:ascii="PT Astra Serif" w:hAnsi="PT Astra Serif"/>
          <w:sz w:val="28"/>
          <w:szCs w:val="28"/>
        </w:rPr>
        <w:t xml:space="preserve">Критерии отбора поселений для предоставления </w:t>
      </w:r>
    </w:p>
    <w:p>
      <w:pPr>
        <w:pStyle w:val="ConsPlusTitle"/>
        <w:tabs>
          <w:tab w:val="left" w:pos="0"/>
          <w:tab w:val="left" w:pos="567"/>
        </w:tabs>
        <w:jc w:val="center"/>
        <w:outlineLvl w:val="0"/>
        <w:rPr>
          <w:rFonts w:ascii="PT Astra Serif" w:hAnsi="PT Astra Serif"/>
          <w:sz w:val="28"/>
          <w:szCs w:val="28"/>
        </w:rPr>
      </w:pPr>
      <w:r>
        <w:rPr>
          <w:rFonts w:ascii="PT Astra Serif" w:hAnsi="PT Astra Serif"/>
          <w:sz w:val="28"/>
          <w:szCs w:val="28"/>
        </w:rPr>
        <w:t>иных межбюджетных трансфертов</w:t>
      </w:r>
    </w:p>
    <w:p>
      <w:pPr>
        <w:pStyle w:val="ConsPlusNormal"/>
        <w:tabs>
          <w:tab w:val="left" w:pos="0"/>
        </w:tabs>
        <w:jc w:val="center"/>
        <w:rPr>
          <w:rFonts w:ascii="PT Astra Serif" w:hAnsi="PT Astra Serif"/>
          <w:sz w:val="28"/>
          <w:szCs w:val="28"/>
        </w:rPr>
      </w:pP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Критерием отбора поселений для предоставления иных межбюджетных трансфертов является потребность муниципального образования в средствах на реализацию мероприятия.</w:t>
      </w:r>
    </w:p>
    <w:p>
      <w:pPr>
        <w:pStyle w:val="ConsPlusNormal"/>
        <w:tabs>
          <w:tab w:val="left" w:pos="0"/>
        </w:tabs>
        <w:rPr>
          <w:rFonts w:ascii="PT Astra Serif" w:hAnsi="PT Astra Serif"/>
          <w:sz w:val="28"/>
          <w:szCs w:val="28"/>
        </w:rPr>
      </w:pPr>
    </w:p>
    <w:p>
      <w:pPr>
        <w:pStyle w:val="ConsPlusTitle"/>
        <w:numPr>
          <w:ilvl w:val="0"/>
          <w:numId w:val="4"/>
        </w:numPr>
        <w:tabs>
          <w:tab w:val="left" w:pos="0"/>
          <w:tab w:val="left" w:pos="567"/>
        </w:tabs>
        <w:ind w:left="0" w:firstLine="0"/>
        <w:jc w:val="center"/>
        <w:outlineLvl w:val="0"/>
        <w:rPr>
          <w:rFonts w:ascii="PT Astra Serif" w:hAnsi="PT Astra Serif"/>
          <w:sz w:val="28"/>
          <w:szCs w:val="28"/>
        </w:rPr>
      </w:pPr>
      <w:r>
        <w:rPr>
          <w:rFonts w:ascii="PT Astra Serif" w:hAnsi="PT Astra Serif"/>
          <w:sz w:val="28"/>
          <w:szCs w:val="28"/>
        </w:rPr>
        <w:t xml:space="preserve">Методика распределения иных межбюджетных </w:t>
      </w:r>
    </w:p>
    <w:p>
      <w:pPr>
        <w:pStyle w:val="ConsPlusTitle"/>
        <w:tabs>
          <w:tab w:val="left" w:pos="0"/>
        </w:tabs>
        <w:jc w:val="center"/>
        <w:outlineLvl w:val="0"/>
        <w:rPr>
          <w:rFonts w:ascii="PT Astra Serif" w:hAnsi="PT Astra Serif"/>
          <w:sz w:val="28"/>
          <w:szCs w:val="28"/>
        </w:rPr>
      </w:pPr>
      <w:r>
        <w:rPr>
          <w:rFonts w:ascii="PT Astra Serif" w:hAnsi="PT Astra Serif"/>
          <w:sz w:val="28"/>
          <w:szCs w:val="28"/>
        </w:rPr>
        <w:t>трансфертов между поселениями</w:t>
      </w:r>
    </w:p>
    <w:p>
      <w:pPr>
        <w:pStyle w:val="ConsPlusNormal"/>
        <w:tabs>
          <w:tab w:val="left" w:pos="0"/>
        </w:tabs>
        <w:jc w:val="center"/>
        <w:rPr>
          <w:rFonts w:ascii="PT Astra Serif" w:hAnsi="PT Astra Serif"/>
          <w:sz w:val="28"/>
          <w:szCs w:val="28"/>
        </w:rPr>
      </w:pP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Размер иных межбюджетных трансфертов, предоставляемых поселениям для предоставления возмещений собственникам за изымаемые жилые помещения аварийного жилищного фонда, определяется следующим образом:</w:t>
      </w:r>
    </w:p>
    <w:p>
      <w:pPr>
        <w:pStyle w:val="ConsPlusNormal"/>
        <w:tabs>
          <w:tab w:val="left" w:pos="0"/>
        </w:tabs>
        <w:jc w:val="both"/>
        <w:rPr>
          <w:rFonts w:ascii="PT Astra Serif" w:hAnsi="PT Astra Serif"/>
          <w:sz w:val="28"/>
          <w:szCs w:val="28"/>
        </w:rPr>
      </w:pPr>
    </w:p>
    <w:p>
      <w:pPr>
        <w:pStyle w:val="ConsPlusNormal"/>
        <w:tabs>
          <w:tab w:val="left" w:pos="0"/>
        </w:tabs>
        <w:jc w:val="center"/>
        <w:rPr>
          <w:rFonts w:ascii="PT Astra Serif" w:hAnsi="PT Astra Serif"/>
          <w:sz w:val="28"/>
          <w:szCs w:val="28"/>
        </w:rPr>
      </w:pPr>
      <w:r>
        <w:rPr>
          <w:rFonts w:ascii="PT Astra Serif" w:hAnsi="PT Astra Serif"/>
          <w:sz w:val="28"/>
          <w:szCs w:val="28"/>
        </w:rPr>
        <w:lastRenderedPageBreak/>
        <w:t>Vмо = Sмо x Омо x 0,99,</w:t>
      </w:r>
    </w:p>
    <w:p>
      <w:pPr>
        <w:pStyle w:val="ConsPlusNormal"/>
        <w:tabs>
          <w:tab w:val="left" w:pos="0"/>
        </w:tabs>
        <w:jc w:val="center"/>
        <w:rPr>
          <w:rFonts w:ascii="PT Astra Serif" w:hAnsi="PT Astra Serif"/>
          <w:sz w:val="28"/>
          <w:szCs w:val="28"/>
        </w:rPr>
      </w:pPr>
    </w:p>
    <w:p>
      <w:pPr>
        <w:pStyle w:val="ConsPlusNormal"/>
        <w:tabs>
          <w:tab w:val="left" w:pos="1276"/>
        </w:tabs>
        <w:ind w:firstLine="709"/>
        <w:rPr>
          <w:rFonts w:ascii="PT Astra Serif" w:hAnsi="PT Astra Serif"/>
          <w:sz w:val="28"/>
          <w:szCs w:val="28"/>
        </w:rPr>
      </w:pPr>
      <w:r>
        <w:rPr>
          <w:rFonts w:ascii="PT Astra Serif" w:hAnsi="PT Astra Serif"/>
          <w:sz w:val="28"/>
          <w:szCs w:val="28"/>
        </w:rPr>
        <w:t>где:</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Vмо - объем иных межбюджетных трансфертов, предоставляемой поселению(руб.);</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Sмо - общая площадь жилых помещений, признанных непригодными                    для проживания и подлежащих сносу, принадлежащих собственникам, в рамках реализации настоящего Порядка (кв. м);</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Омо - стоимость 1 кв. м, которая определяется в соответствии с отчетом независимого оценщика об оценке изымаемого жилого помещения, подлежащего сносу (руб./кв. м);</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0,99 - коэффициент софинансирования за счет средств бюджета муниципального образования Тазовский район расходных обязательств, возникающих при выполнении полномочий поселений на решение вопросов местного значения по участию в организации деятельности по накоплению                    (в том числе раздельному накоплению) твердых коммунальных отходов.</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Размер иных межбюджетных трансфертов, предоставляемых муниципальным образованиям на приобретение в муниципальную собственность жилых помещений для переселения граждан, проживающих                     в аварийном жилищном фонде, определяется следующим образом:</w:t>
      </w:r>
    </w:p>
    <w:p>
      <w:pPr>
        <w:pStyle w:val="ConsPlusNormal"/>
        <w:tabs>
          <w:tab w:val="left" w:pos="0"/>
        </w:tabs>
        <w:jc w:val="both"/>
        <w:rPr>
          <w:rFonts w:ascii="PT Astra Serif" w:hAnsi="PT Astra Serif"/>
          <w:sz w:val="28"/>
          <w:szCs w:val="28"/>
        </w:rPr>
      </w:pPr>
    </w:p>
    <w:p>
      <w:pPr>
        <w:pStyle w:val="ConsPlusNormal"/>
        <w:tabs>
          <w:tab w:val="left" w:pos="0"/>
        </w:tabs>
        <w:jc w:val="center"/>
        <w:rPr>
          <w:rFonts w:ascii="PT Astra Serif" w:hAnsi="PT Astra Serif"/>
          <w:sz w:val="28"/>
          <w:szCs w:val="28"/>
        </w:rPr>
      </w:pPr>
      <w:r>
        <w:rPr>
          <w:rFonts w:ascii="PT Astra Serif" w:hAnsi="PT Astra Serif"/>
          <w:sz w:val="28"/>
          <w:szCs w:val="28"/>
        </w:rPr>
        <w:t>Vмо = Sмо x Pмо x 0,99,</w:t>
      </w:r>
    </w:p>
    <w:p>
      <w:pPr>
        <w:pStyle w:val="ConsPlusNormal"/>
        <w:tabs>
          <w:tab w:val="left" w:pos="0"/>
        </w:tabs>
        <w:jc w:val="center"/>
        <w:rPr>
          <w:rFonts w:ascii="PT Astra Serif" w:hAnsi="PT Astra Serif"/>
          <w:sz w:val="28"/>
          <w:szCs w:val="28"/>
        </w:rPr>
      </w:pPr>
    </w:p>
    <w:p>
      <w:pPr>
        <w:pStyle w:val="ConsPlusNormal"/>
        <w:tabs>
          <w:tab w:val="left" w:pos="1276"/>
        </w:tabs>
        <w:ind w:firstLine="709"/>
        <w:rPr>
          <w:rFonts w:ascii="PT Astra Serif" w:hAnsi="PT Astra Serif"/>
          <w:sz w:val="28"/>
          <w:szCs w:val="28"/>
        </w:rPr>
      </w:pPr>
      <w:r>
        <w:rPr>
          <w:rFonts w:ascii="PT Astra Serif" w:hAnsi="PT Astra Serif"/>
          <w:sz w:val="28"/>
          <w:szCs w:val="28"/>
        </w:rPr>
        <w:t>где:</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Vмо - объем иных межбюджетных трансфертов, предоставляемой поселению для приобретения жилых помещений (руб.);</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Sмо - общая площадь жилых помещений, планируемая к предоставлению (м</w:t>
      </w:r>
      <w:r>
        <w:rPr>
          <w:rFonts w:ascii="PT Astra Serif" w:hAnsi="PT Astra Serif"/>
          <w:sz w:val="28"/>
          <w:szCs w:val="28"/>
          <w:vertAlign w:val="superscript"/>
        </w:rPr>
        <w:t>2</w:t>
      </w:r>
      <w:r>
        <w:rPr>
          <w:rFonts w:ascii="PT Astra Serif" w:hAnsi="PT Astra Serif"/>
          <w:sz w:val="28"/>
          <w:szCs w:val="28"/>
        </w:rPr>
        <w:t>);</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Pмо - средняя рыночная стоимость одного квадратного метра жилых помещений в поселении, определяемая в соответствии с постановлением                           о рыночной стоимости (руб./м</w:t>
      </w:r>
      <w:r>
        <w:rPr>
          <w:rFonts w:ascii="PT Astra Serif" w:hAnsi="PT Astra Serif"/>
          <w:sz w:val="28"/>
          <w:szCs w:val="28"/>
          <w:vertAlign w:val="superscript"/>
        </w:rPr>
        <w:t>2</w:t>
      </w:r>
      <w:r>
        <w:rPr>
          <w:rFonts w:ascii="PT Astra Serif" w:hAnsi="PT Astra Serif"/>
          <w:sz w:val="28"/>
          <w:szCs w:val="28"/>
        </w:rPr>
        <w:t>);</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0,99 - коэффициент софинансирования за счет средств бюджета муниципального образования Тазовский район расходных обязательств, возникающих при выполнении полномочий поселений на решение вопросов местного значения по участию в организации деятельности по накоплению                    (в том числе раздельному накоплению) твердых коммунальных отходов.</w:t>
      </w:r>
    </w:p>
    <w:p>
      <w:pPr>
        <w:pStyle w:val="ConsPlusNormal"/>
        <w:numPr>
          <w:ilvl w:val="1"/>
          <w:numId w:val="4"/>
        </w:numPr>
        <w:tabs>
          <w:tab w:val="left" w:pos="1276"/>
        </w:tabs>
        <w:ind w:left="0" w:firstLine="709"/>
        <w:jc w:val="both"/>
        <w:rPr>
          <w:rFonts w:ascii="PT Astra Serif" w:hAnsi="PT Astra Serif"/>
          <w:sz w:val="28"/>
          <w:szCs w:val="28"/>
        </w:rPr>
      </w:pPr>
      <w:r>
        <w:rPr>
          <w:rFonts w:ascii="PT Astra Serif" w:hAnsi="PT Astra Serif"/>
          <w:sz w:val="28"/>
          <w:szCs w:val="28"/>
        </w:rPr>
        <w:t>Распределение между поселениями иных межбюджетных трансфертов, предоставляемых бюджетам поселений, осуществляется пропорционально расселяемой общей площади жилых помещений                                   в соответствующем поселении.</w:t>
      </w:r>
    </w:p>
    <w:p>
      <w:pPr>
        <w:pStyle w:val="ConsPlusNormal"/>
        <w:numPr>
          <w:ilvl w:val="1"/>
          <w:numId w:val="4"/>
        </w:numPr>
        <w:tabs>
          <w:tab w:val="left" w:pos="1276"/>
        </w:tabs>
        <w:ind w:left="0" w:firstLine="709"/>
        <w:jc w:val="both"/>
        <w:rPr>
          <w:rFonts w:ascii="PT Astra Serif" w:hAnsi="PT Astra Serif"/>
          <w:sz w:val="28"/>
          <w:szCs w:val="28"/>
        </w:rPr>
      </w:pPr>
      <w:r>
        <w:rPr>
          <w:rFonts w:ascii="PT Astra Serif" w:hAnsi="PT Astra Serif"/>
          <w:sz w:val="28"/>
          <w:szCs w:val="28"/>
        </w:rPr>
        <w:t>Максимальный размер иных межбюджетных трансфертов должен составлять не более суммы денежных средств, заявленной поселением.</w:t>
      </w:r>
    </w:p>
    <w:p>
      <w:pPr>
        <w:pStyle w:val="ConsPlusNormal"/>
        <w:tabs>
          <w:tab w:val="left" w:pos="0"/>
        </w:tabs>
        <w:jc w:val="center"/>
        <w:rPr>
          <w:rFonts w:ascii="PT Astra Serif" w:hAnsi="PT Astra Serif"/>
          <w:sz w:val="28"/>
          <w:szCs w:val="28"/>
        </w:rPr>
      </w:pPr>
    </w:p>
    <w:p>
      <w:pPr>
        <w:pStyle w:val="ConsPlusNormal"/>
        <w:tabs>
          <w:tab w:val="left" w:pos="0"/>
        </w:tabs>
        <w:jc w:val="center"/>
        <w:rPr>
          <w:rFonts w:ascii="PT Astra Serif" w:hAnsi="PT Astra Serif"/>
          <w:sz w:val="28"/>
          <w:szCs w:val="28"/>
        </w:rPr>
      </w:pPr>
    </w:p>
    <w:p>
      <w:pPr>
        <w:pStyle w:val="ConsPlusTitle"/>
        <w:numPr>
          <w:ilvl w:val="0"/>
          <w:numId w:val="4"/>
        </w:numPr>
        <w:tabs>
          <w:tab w:val="left" w:pos="0"/>
          <w:tab w:val="left" w:pos="567"/>
        </w:tabs>
        <w:ind w:left="0" w:firstLine="0"/>
        <w:jc w:val="center"/>
        <w:outlineLvl w:val="0"/>
        <w:rPr>
          <w:rFonts w:ascii="PT Astra Serif" w:hAnsi="PT Astra Serif"/>
          <w:sz w:val="28"/>
          <w:szCs w:val="28"/>
        </w:rPr>
      </w:pPr>
      <w:r>
        <w:rPr>
          <w:rFonts w:ascii="PT Astra Serif" w:hAnsi="PT Astra Serif"/>
          <w:sz w:val="28"/>
          <w:szCs w:val="28"/>
        </w:rPr>
        <w:lastRenderedPageBreak/>
        <w:t>Порядок предоставления иных межбюджетных трансфертов</w:t>
      </w:r>
    </w:p>
    <w:p>
      <w:pPr>
        <w:pStyle w:val="ConsPlusNormal"/>
        <w:tabs>
          <w:tab w:val="left" w:pos="0"/>
        </w:tabs>
        <w:jc w:val="center"/>
        <w:rPr>
          <w:rFonts w:ascii="PT Astra Serif" w:hAnsi="PT Astra Serif"/>
          <w:sz w:val="28"/>
          <w:szCs w:val="28"/>
        </w:rPr>
      </w:pP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 xml:space="preserve">Уполномоченный орган и поселение заключают соглашение                             о предоставлении иных межбюджетных трансфертов на цели, указанные                             в </w:t>
      </w:r>
      <w:hyperlink w:anchor="P21" w:history="1">
        <w:r>
          <w:rPr>
            <w:rFonts w:ascii="PT Astra Serif" w:hAnsi="PT Astra Serif"/>
            <w:sz w:val="28"/>
            <w:szCs w:val="28"/>
          </w:rPr>
          <w:t>пункте 1.3</w:t>
        </w:r>
      </w:hyperlink>
      <w:r>
        <w:rPr>
          <w:rFonts w:ascii="PT Astra Serif" w:hAnsi="PT Astra Serif"/>
          <w:sz w:val="28"/>
          <w:szCs w:val="28"/>
        </w:rPr>
        <w:t xml:space="preserve"> настоящего Порядка, с учетом перечня.</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Соглашение должно быть заключено до 01 июля текущего финансового года.</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Типовая форма соглашения утверждается приказом Уполномоченного органа.</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Внесение в соглашение изменений, предусматривающих ухудшение значений показателей результативности использования иных межбюджетных трансфертов,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иных межбюджетных трансфертов оказалось невозможным вследствие обстоятельств непреодолимой силы, изменения значений целевых показателей и индикаторов муниципальных программ, а также в случае сокращения размера иных межбюджетных трансфертов.</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 xml:space="preserve">Под обстоятельствами непреодолимой силы в рамках настоящего Порядка понимаются обстоятельства, предусмотренные </w:t>
      </w:r>
      <w:hyperlink r:id="rId15" w:history="1">
        <w:r>
          <w:rPr>
            <w:rFonts w:ascii="PT Astra Serif" w:hAnsi="PT Astra Serif"/>
            <w:sz w:val="28"/>
            <w:szCs w:val="28"/>
          </w:rPr>
          <w:t>пунктом 3 статьи 401</w:t>
        </w:r>
      </w:hyperlink>
      <w:r>
        <w:rPr>
          <w:rFonts w:ascii="PT Astra Serif" w:hAnsi="PT Astra Serif"/>
          <w:sz w:val="28"/>
          <w:szCs w:val="28"/>
        </w:rPr>
        <w:t xml:space="preserve"> Гражданского кодекса Российской Федерации.</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Соглашение должно содержать следующие положения:</w:t>
      </w:r>
    </w:p>
    <w:p>
      <w:pPr>
        <w:pStyle w:val="ConsPlusNormal"/>
        <w:numPr>
          <w:ilvl w:val="0"/>
          <w:numId w:val="17"/>
        </w:numPr>
        <w:tabs>
          <w:tab w:val="left" w:pos="1134"/>
        </w:tabs>
        <w:ind w:left="0" w:firstLine="709"/>
        <w:jc w:val="both"/>
        <w:rPr>
          <w:rFonts w:ascii="PT Astra Serif" w:hAnsi="PT Astra Serif"/>
          <w:sz w:val="28"/>
          <w:szCs w:val="28"/>
        </w:rPr>
      </w:pPr>
      <w:r>
        <w:rPr>
          <w:rFonts w:ascii="PT Astra Serif" w:hAnsi="PT Astra Serif"/>
          <w:sz w:val="28"/>
          <w:szCs w:val="28"/>
        </w:rPr>
        <w:t xml:space="preserve">соглашение о предоставлении иных межбюджетных трансфертов – соглашение между получателем иных межбюджетных трансфертов                                и уполномоченным органом, определяющее права и обязанности сторон, возникающие в связи с предоставлением иных межбюджетных трансфертов, заключенное в сроки: </w:t>
      </w:r>
    </w:p>
    <w:p>
      <w:pPr>
        <w:pStyle w:val="ConsPlusNormal"/>
        <w:numPr>
          <w:ilvl w:val="0"/>
          <w:numId w:val="17"/>
        </w:numPr>
        <w:tabs>
          <w:tab w:val="left" w:pos="1134"/>
        </w:tabs>
        <w:ind w:left="0" w:firstLine="709"/>
        <w:jc w:val="both"/>
        <w:rPr>
          <w:rFonts w:ascii="PT Astra Serif" w:hAnsi="PT Astra Serif"/>
          <w:sz w:val="28"/>
          <w:szCs w:val="28"/>
        </w:rPr>
      </w:pPr>
      <w:r>
        <w:rPr>
          <w:rFonts w:ascii="PT Astra Serif" w:hAnsi="PT Astra Serif"/>
          <w:sz w:val="28"/>
          <w:szCs w:val="28"/>
        </w:rPr>
        <w:t>в случаях когда распределение иных межбюджетных трансфертов                       по бюджетам поселений в текущем финансовом году утверждено нормативным правовым актом муниципального образования Тазовский район:</w:t>
      </w:r>
    </w:p>
    <w:p>
      <w:pPr>
        <w:pStyle w:val="ConsPlusNormal"/>
        <w:numPr>
          <w:ilvl w:val="0"/>
          <w:numId w:val="20"/>
        </w:numPr>
        <w:tabs>
          <w:tab w:val="left" w:pos="1134"/>
        </w:tabs>
        <w:ind w:left="0" w:firstLine="709"/>
        <w:jc w:val="both"/>
        <w:rPr>
          <w:rFonts w:ascii="PT Astra Serif" w:hAnsi="PT Astra Serif"/>
          <w:sz w:val="28"/>
          <w:szCs w:val="28"/>
        </w:rPr>
      </w:pPr>
      <w:r>
        <w:rPr>
          <w:rFonts w:ascii="PT Astra Serif" w:hAnsi="PT Astra Serif"/>
          <w:sz w:val="28"/>
          <w:szCs w:val="28"/>
        </w:rPr>
        <w:t>при наличии утвержденного порядка предоставления и распределения иных межбюджетных трансфертов - в течение 7 дней со дня вступления                              в силу нормативного правового акта Администрации Тазовского района, устанавливающего распределение иных межбюджетных трансфертов;</w:t>
      </w:r>
    </w:p>
    <w:p>
      <w:pPr>
        <w:pStyle w:val="ConsPlusNormal"/>
        <w:numPr>
          <w:ilvl w:val="0"/>
          <w:numId w:val="20"/>
        </w:numPr>
        <w:tabs>
          <w:tab w:val="left" w:pos="1134"/>
        </w:tabs>
        <w:ind w:left="0" w:firstLine="709"/>
        <w:jc w:val="both"/>
        <w:rPr>
          <w:rFonts w:ascii="PT Astra Serif" w:hAnsi="PT Astra Serif"/>
          <w:sz w:val="28"/>
          <w:szCs w:val="28"/>
        </w:rPr>
      </w:pPr>
      <w:r>
        <w:rPr>
          <w:rFonts w:ascii="PT Astra Serif" w:hAnsi="PT Astra Serif"/>
          <w:sz w:val="28"/>
          <w:szCs w:val="28"/>
        </w:rPr>
        <w:t xml:space="preserve">при отсутствии утвержденного порядка предоставления                                           и </w:t>
      </w:r>
      <w:r>
        <w:rPr>
          <w:rFonts w:ascii="PT Astra Serif" w:hAnsi="PT Astra Serif"/>
          <w:spacing w:val="-20"/>
          <w:sz w:val="28"/>
          <w:szCs w:val="28"/>
        </w:rPr>
        <w:t>распределения</w:t>
      </w:r>
      <w:r>
        <w:rPr>
          <w:rFonts w:ascii="PT Astra Serif" w:hAnsi="PT Astra Serif"/>
          <w:sz w:val="28"/>
          <w:szCs w:val="28"/>
        </w:rPr>
        <w:t xml:space="preserve"> иных межбюджетных трансфертов - в течение 14 дней со дня вступления в силу нормативного правового акта Правительства автономного округа, устанавливающего указанный порядок предоставления и распределения иных межбюджетных трансфертов;</w:t>
      </w:r>
    </w:p>
    <w:p>
      <w:pPr>
        <w:pStyle w:val="ConsPlusNormal"/>
        <w:numPr>
          <w:ilvl w:val="0"/>
          <w:numId w:val="18"/>
        </w:numPr>
        <w:tabs>
          <w:tab w:val="left" w:pos="1134"/>
        </w:tabs>
        <w:ind w:left="0" w:firstLine="709"/>
        <w:jc w:val="both"/>
        <w:rPr>
          <w:rFonts w:ascii="PT Astra Serif" w:hAnsi="PT Astra Serif"/>
          <w:sz w:val="28"/>
          <w:szCs w:val="28"/>
        </w:rPr>
      </w:pPr>
      <w:r>
        <w:rPr>
          <w:rFonts w:ascii="PT Astra Serif" w:hAnsi="PT Astra Serif"/>
          <w:sz w:val="28"/>
          <w:szCs w:val="28"/>
        </w:rPr>
        <w:t>соглашение устанавливает общие требования к формированию, предоставлению и распределению иных межбюджетных трансфертов                              из бюджета муниципального образования Тазовский район бюджетам поселений, по типовой форме, утвержденной департаментом финансов Администрации Тазовского района.</w:t>
      </w: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lastRenderedPageBreak/>
        <w:t>Уполномоченный орган на основании заявки поселения                                 на предоставление иных межбюджетных трансфертов по форме, утвержденной соглашением (далее - заявка), осуществляет перечисление иных межбюджетных трансфертов в бюджет поселения в пределах доведенных объемов бюджетных ассигнований на соответствующий период в соответствии с утвержденной сводной бюджетной росписью бюджета под фактическую потребность поселения пропорционально объему установленного уровня софинансирования расходного обязательства поселения.</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По завершении операций по исполнению бюджета текущего финансового года Уполномоченный орган осуществляет перечисление иных межбюджетных трансфертов в бюджет поселения с учетом ожидаемой фактической потребности в текущем финансовом году.</w:t>
      </w: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Перечисление иных межбюджетных трансфертов осуществляется уполномоченным органом не позднее 27 числа текущего месяца.</w:t>
      </w: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В случае если ранее перечисленная сумма иных межбюджетных трансфертов использована не в полном объеме, получатель иных межбюджетных трансфертов направляет в уполномоченный орган заявку                       с учетом уменьшения иных межбюджетных трансфертов на сумму неиспользованных средств иных межбюджетных трансфертов.</w:t>
      </w:r>
    </w:p>
    <w:p>
      <w:pPr>
        <w:pStyle w:val="ConsPlusNormal"/>
        <w:tabs>
          <w:tab w:val="left" w:pos="0"/>
        </w:tabs>
        <w:jc w:val="center"/>
        <w:rPr>
          <w:rFonts w:ascii="PT Astra Serif" w:hAnsi="PT Astra Serif"/>
          <w:sz w:val="28"/>
          <w:szCs w:val="28"/>
        </w:rPr>
      </w:pPr>
    </w:p>
    <w:p>
      <w:pPr>
        <w:pStyle w:val="ConsPlusTitle"/>
        <w:numPr>
          <w:ilvl w:val="0"/>
          <w:numId w:val="4"/>
        </w:numPr>
        <w:tabs>
          <w:tab w:val="left" w:pos="0"/>
        </w:tabs>
        <w:ind w:left="0" w:firstLine="0"/>
        <w:jc w:val="center"/>
        <w:outlineLvl w:val="0"/>
        <w:rPr>
          <w:rFonts w:ascii="PT Astra Serif" w:hAnsi="PT Astra Serif"/>
          <w:sz w:val="28"/>
          <w:szCs w:val="28"/>
        </w:rPr>
      </w:pPr>
      <w:r>
        <w:rPr>
          <w:rFonts w:ascii="PT Astra Serif" w:hAnsi="PT Astra Serif"/>
          <w:sz w:val="28"/>
          <w:szCs w:val="28"/>
        </w:rPr>
        <w:t>Порядок оценки эффективности использования иных межбюджетных трансфертов и показатели результативности использования иных межбюджетных трансфертов</w:t>
      </w:r>
    </w:p>
    <w:p>
      <w:pPr>
        <w:pStyle w:val="ConsPlusNormal"/>
        <w:tabs>
          <w:tab w:val="left" w:pos="0"/>
        </w:tabs>
        <w:jc w:val="center"/>
        <w:rPr>
          <w:rFonts w:ascii="PT Astra Serif" w:hAnsi="PT Astra Serif"/>
          <w:sz w:val="28"/>
          <w:szCs w:val="28"/>
        </w:rPr>
      </w:pP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Оценка эффективности использования иных межбюджетных трансфертов проводится Уполномоченным органом на основании представленного поселением отчета о достижении показателей результативности использования иных межбюджетных трансфертов                               с пояснительной запиской в порядке, предусмотренном соглашением.</w:t>
      </w: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Показателем результативности использования иных межбюджетных трансфертов является количество граждан, проживающих                       в жилищном фонде, признанном непригодным для проживания, получивших государственную поддержку в улучшении жилищных условий (семей).</w:t>
      </w:r>
    </w:p>
    <w:p>
      <w:pPr>
        <w:pStyle w:val="ConsPlusNormal"/>
        <w:tabs>
          <w:tab w:val="left" w:pos="1418"/>
        </w:tabs>
        <w:ind w:firstLine="709"/>
        <w:jc w:val="both"/>
        <w:rPr>
          <w:rFonts w:ascii="PT Astra Serif" w:hAnsi="PT Astra Serif"/>
          <w:sz w:val="28"/>
          <w:szCs w:val="28"/>
        </w:rPr>
      </w:pPr>
      <w:r>
        <w:rPr>
          <w:rFonts w:ascii="PT Astra Serif" w:hAnsi="PT Astra Serif"/>
          <w:sz w:val="28"/>
          <w:szCs w:val="28"/>
        </w:rPr>
        <w:t>Показатель результативности использования иных межбюджетных трансфертов соответствует показателю муниципальной программы.</w:t>
      </w:r>
    </w:p>
    <w:p>
      <w:pPr>
        <w:pStyle w:val="ConsPlusNormal"/>
        <w:tabs>
          <w:tab w:val="left" w:pos="1418"/>
        </w:tabs>
        <w:ind w:firstLine="709"/>
        <w:jc w:val="both"/>
        <w:rPr>
          <w:rFonts w:ascii="PT Astra Serif" w:hAnsi="PT Astra Serif"/>
          <w:sz w:val="28"/>
          <w:szCs w:val="28"/>
        </w:rPr>
      </w:pPr>
      <w:r>
        <w:rPr>
          <w:rFonts w:ascii="PT Astra Serif" w:hAnsi="PT Astra Serif"/>
          <w:sz w:val="28"/>
          <w:szCs w:val="28"/>
        </w:rPr>
        <w:t>Достижение показателя результативности использования иных межбюджетных трансфертов должно быть направлено в том числе                                     на достижение цели и показателей выполнения Комплексной программы.</w:t>
      </w: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Сроки и порядок представления отчетности, а также значения показателей результативности использования иных межбюджетных трансфертов определяются соглашением.</w:t>
      </w:r>
    </w:p>
    <w:p>
      <w:pPr>
        <w:pStyle w:val="ConsPlusNormal"/>
        <w:tabs>
          <w:tab w:val="left" w:pos="0"/>
        </w:tabs>
        <w:jc w:val="both"/>
        <w:rPr>
          <w:rFonts w:ascii="PT Astra Serif" w:hAnsi="PT Astra Serif"/>
          <w:sz w:val="28"/>
          <w:szCs w:val="28"/>
        </w:rPr>
      </w:pPr>
    </w:p>
    <w:p>
      <w:pPr>
        <w:pStyle w:val="ConsPlusNormal"/>
        <w:tabs>
          <w:tab w:val="left" w:pos="0"/>
        </w:tabs>
        <w:jc w:val="both"/>
        <w:rPr>
          <w:rFonts w:ascii="PT Astra Serif" w:hAnsi="PT Astra Serif"/>
          <w:sz w:val="28"/>
          <w:szCs w:val="28"/>
        </w:rPr>
      </w:pPr>
    </w:p>
    <w:p>
      <w:pPr>
        <w:pStyle w:val="ConsPlusNormal"/>
        <w:tabs>
          <w:tab w:val="left" w:pos="0"/>
        </w:tabs>
        <w:jc w:val="both"/>
        <w:rPr>
          <w:rFonts w:ascii="PT Astra Serif" w:hAnsi="PT Astra Serif"/>
          <w:sz w:val="28"/>
          <w:szCs w:val="28"/>
        </w:rPr>
      </w:pPr>
    </w:p>
    <w:p>
      <w:pPr>
        <w:pStyle w:val="ConsPlusTitle"/>
        <w:numPr>
          <w:ilvl w:val="0"/>
          <w:numId w:val="4"/>
        </w:numPr>
        <w:tabs>
          <w:tab w:val="left" w:pos="0"/>
        </w:tabs>
        <w:ind w:left="0" w:firstLine="0"/>
        <w:jc w:val="center"/>
        <w:outlineLvl w:val="0"/>
        <w:rPr>
          <w:rFonts w:ascii="PT Astra Serif" w:hAnsi="PT Astra Serif"/>
          <w:sz w:val="28"/>
          <w:szCs w:val="28"/>
        </w:rPr>
      </w:pPr>
      <w:r>
        <w:rPr>
          <w:rFonts w:ascii="PT Astra Serif" w:hAnsi="PT Astra Serif"/>
          <w:sz w:val="28"/>
          <w:szCs w:val="28"/>
        </w:rPr>
        <w:lastRenderedPageBreak/>
        <w:t xml:space="preserve">Основания и порядок применения мер финансовой ответственности. Порядок и предельный объем сокращения и перераспределения иных межбюджетных трансфертов в случае невыполнения </w:t>
      </w:r>
    </w:p>
    <w:p>
      <w:pPr>
        <w:pStyle w:val="ConsPlusTitle"/>
        <w:tabs>
          <w:tab w:val="left" w:pos="0"/>
        </w:tabs>
        <w:jc w:val="center"/>
        <w:outlineLvl w:val="0"/>
        <w:rPr>
          <w:rFonts w:ascii="PT Astra Serif" w:hAnsi="PT Astra Serif"/>
          <w:sz w:val="28"/>
          <w:szCs w:val="28"/>
        </w:rPr>
      </w:pPr>
      <w:r>
        <w:rPr>
          <w:rFonts w:ascii="PT Astra Serif" w:hAnsi="PT Astra Serif"/>
          <w:sz w:val="28"/>
          <w:szCs w:val="28"/>
        </w:rPr>
        <w:t xml:space="preserve">муниципальными образованиями условий предоставления иных межбюджетных трансфертов и обязательств по целевому </w:t>
      </w:r>
    </w:p>
    <w:p>
      <w:pPr>
        <w:pStyle w:val="ConsPlusTitle"/>
        <w:tabs>
          <w:tab w:val="left" w:pos="0"/>
        </w:tabs>
        <w:jc w:val="center"/>
        <w:outlineLvl w:val="0"/>
        <w:rPr>
          <w:rFonts w:ascii="PT Astra Serif" w:hAnsi="PT Astra Serif"/>
          <w:sz w:val="28"/>
          <w:szCs w:val="28"/>
        </w:rPr>
      </w:pPr>
      <w:r>
        <w:rPr>
          <w:rFonts w:ascii="PT Astra Serif" w:hAnsi="PT Astra Serif"/>
          <w:sz w:val="28"/>
          <w:szCs w:val="28"/>
        </w:rPr>
        <w:t>и эффективному использованию иных межбюджетных трансфертов</w:t>
      </w:r>
    </w:p>
    <w:p>
      <w:pPr>
        <w:pStyle w:val="ConsPlusNormal"/>
        <w:tabs>
          <w:tab w:val="left" w:pos="0"/>
        </w:tabs>
        <w:jc w:val="center"/>
        <w:rPr>
          <w:rFonts w:ascii="PT Astra Serif" w:hAnsi="PT Astra Serif"/>
          <w:sz w:val="28"/>
          <w:szCs w:val="28"/>
        </w:rPr>
      </w:pPr>
    </w:p>
    <w:p>
      <w:pPr>
        <w:pStyle w:val="ConsPlusNormal"/>
        <w:numPr>
          <w:ilvl w:val="1"/>
          <w:numId w:val="4"/>
        </w:numPr>
        <w:tabs>
          <w:tab w:val="left" w:pos="1418"/>
        </w:tabs>
        <w:ind w:left="0" w:firstLine="709"/>
        <w:jc w:val="both"/>
        <w:rPr>
          <w:rFonts w:ascii="PT Astra Serif" w:hAnsi="PT Astra Serif"/>
          <w:sz w:val="28"/>
          <w:szCs w:val="28"/>
        </w:rPr>
      </w:pPr>
      <w:r>
        <w:rPr>
          <w:rFonts w:ascii="PT Astra Serif" w:hAnsi="PT Astra Serif"/>
          <w:sz w:val="28"/>
          <w:szCs w:val="28"/>
        </w:rPr>
        <w:t xml:space="preserve">В случае, если поселением по состоянию на 31 декабря                                    года предоставления иных межбюджетных трансфертов допущены нарушения обязательств, предусмотренных соглашением, и в срок до первой даты представления отчетности о достижении значений показателей результативности использования иных межбюджетных трансфертов                                    в соответствии с соглашением в году, следующем за годом предоставления иных межбюджетных трансфертов, указанные нарушения не устранены, объем средств, подлежащий возврату из бюджета поселения в бюджет муниципального образования Тазовский район до 01 июня года, следующего                    за годом предоставления иных межбюджетных трансфертов, рассчитывается                       по формуле: </w:t>
      </w:r>
    </w:p>
    <w:p>
      <w:pPr>
        <w:tabs>
          <w:tab w:val="left" w:pos="1276"/>
        </w:tabs>
        <w:autoSpaceDE w:val="0"/>
        <w:autoSpaceDN w:val="0"/>
        <w:adjustRightInd w:val="0"/>
        <w:spacing w:after="0" w:line="240" w:lineRule="auto"/>
        <w:ind w:firstLine="709"/>
        <w:jc w:val="center"/>
        <w:rPr>
          <w:rFonts w:ascii="PT Astra Serif" w:eastAsia="Times New Roman" w:hAnsi="PT Astra Serif" w:cs="Times New Roman"/>
          <w:i/>
          <w:sz w:val="28"/>
          <w:szCs w:val="28"/>
          <w:lang w:eastAsia="ru-RU"/>
        </w:rPr>
      </w:pPr>
      <w:r>
        <w:rPr>
          <w:rFonts w:ascii="PT Astra Serif" w:eastAsia="Times New Roman" w:hAnsi="PT Astra Serif" w:cs="Times New Roman"/>
          <w:i/>
          <w:sz w:val="28"/>
          <w:szCs w:val="28"/>
          <w:lang w:val="en-US" w:eastAsia="ru-RU"/>
        </w:rPr>
        <w:t>V</w:t>
      </w:r>
      <w:r>
        <w:rPr>
          <w:rFonts w:ascii="PT Astra Serif" w:eastAsia="Times New Roman" w:hAnsi="PT Astra Serif" w:cs="Times New Roman"/>
          <w:i/>
          <w:sz w:val="28"/>
          <w:szCs w:val="28"/>
          <w:vertAlign w:val="subscript"/>
          <w:lang w:eastAsia="ru-RU"/>
        </w:rPr>
        <w:t xml:space="preserve">возврата </w:t>
      </w:r>
      <w:r>
        <w:rPr>
          <w:rFonts w:ascii="PT Astra Serif" w:eastAsia="Times New Roman" w:hAnsi="PT Astra Serif" w:cs="Times New Roman"/>
          <w:i/>
          <w:sz w:val="28"/>
          <w:szCs w:val="28"/>
          <w:lang w:eastAsia="ru-RU"/>
        </w:rPr>
        <w:t>=</w:t>
      </w:r>
      <w:r>
        <w:rPr>
          <w:rFonts w:ascii="PT Astra Serif" w:eastAsia="Times New Roman" w:hAnsi="PT Astra Serif" w:cs="Times New Roman"/>
          <w:i/>
          <w:sz w:val="28"/>
          <w:szCs w:val="28"/>
          <w:lang w:val="en-US" w:eastAsia="ru-RU"/>
        </w:rPr>
        <w:t>V</w:t>
      </w:r>
      <w:r>
        <w:rPr>
          <w:rFonts w:ascii="PT Astra Serif" w:eastAsia="Times New Roman" w:hAnsi="PT Astra Serif" w:cs="Times New Roman"/>
          <w:i/>
          <w:sz w:val="28"/>
          <w:szCs w:val="28"/>
          <w:vertAlign w:val="subscript"/>
          <w:lang w:eastAsia="ru-RU"/>
        </w:rPr>
        <w:t xml:space="preserve">суб  </w:t>
      </w:r>
      <w:r>
        <w:rPr>
          <w:rFonts w:ascii="PT Astra Serif" w:eastAsia="Times New Roman" w:hAnsi="PT Astra Serif" w:cs="Times New Roman"/>
          <w:sz w:val="28"/>
          <w:szCs w:val="28"/>
          <w:lang w:val="en-US" w:eastAsia="ru-RU"/>
        </w:rPr>
        <w:t>x</w:t>
      </w:r>
      <w:r>
        <w:rPr>
          <w:rFonts w:ascii="PT Astra Serif" w:eastAsia="Times New Roman" w:hAnsi="PT Astra Serif" w:cs="Times New Roman"/>
          <w:i/>
          <w:sz w:val="28"/>
          <w:szCs w:val="28"/>
          <w:lang w:eastAsia="ru-RU"/>
        </w:rPr>
        <w:t xml:space="preserve"> </w:t>
      </w:r>
      <w:r>
        <w:rPr>
          <w:rFonts w:ascii="PT Astra Serif" w:eastAsia="Times New Roman" w:hAnsi="PT Astra Serif" w:cs="Times New Roman"/>
          <w:i/>
          <w:sz w:val="28"/>
          <w:szCs w:val="28"/>
          <w:lang w:val="en-US" w:eastAsia="ru-RU"/>
        </w:rPr>
        <w:t>k</w:t>
      </w:r>
      <w:r>
        <w:rPr>
          <w:rFonts w:ascii="PT Astra Serif" w:eastAsia="Times New Roman" w:hAnsi="PT Astra Serif" w:cs="Times New Roman"/>
          <w:i/>
          <w:sz w:val="28"/>
          <w:szCs w:val="28"/>
          <w:lang w:eastAsia="ru-RU"/>
        </w:rPr>
        <w:t xml:space="preserve"> </w:t>
      </w:r>
      <w:r>
        <w:rPr>
          <w:rFonts w:ascii="PT Astra Serif" w:eastAsia="Times New Roman" w:hAnsi="PT Astra Serif" w:cs="Times New Roman"/>
          <w:sz w:val="28"/>
          <w:szCs w:val="28"/>
          <w:lang w:val="en-US" w:eastAsia="ru-RU"/>
        </w:rPr>
        <w:t>x</w:t>
      </w:r>
      <w:r>
        <w:rPr>
          <w:rFonts w:ascii="PT Astra Serif" w:eastAsia="Times New Roman" w:hAnsi="PT Astra Serif" w:cs="Times New Roman"/>
          <w:i/>
          <w:sz w:val="28"/>
          <w:szCs w:val="28"/>
          <w:lang w:eastAsia="ru-RU"/>
        </w:rPr>
        <w:t xml:space="preserve"> </w:t>
      </w:r>
      <w:r>
        <w:rPr>
          <w:rFonts w:ascii="PT Astra Serif" w:eastAsia="Times New Roman" w:hAnsi="PT Astra Serif" w:cs="Times New Roman"/>
          <w:i/>
          <w:sz w:val="28"/>
          <w:szCs w:val="28"/>
          <w:lang w:val="en-US" w:eastAsia="ru-RU"/>
        </w:rPr>
        <w:t>m</w:t>
      </w:r>
      <w:r>
        <w:rPr>
          <w:rFonts w:ascii="PT Astra Serif" w:eastAsia="Times New Roman" w:hAnsi="PT Astra Serif" w:cs="Times New Roman"/>
          <w:i/>
          <w:sz w:val="28"/>
          <w:szCs w:val="28"/>
          <w:lang w:eastAsia="ru-RU"/>
        </w:rPr>
        <w:t>/</w:t>
      </w:r>
      <w:r>
        <w:rPr>
          <w:rFonts w:ascii="PT Astra Serif" w:eastAsia="Times New Roman" w:hAnsi="PT Astra Serif" w:cs="Times New Roman"/>
          <w:i/>
          <w:sz w:val="28"/>
          <w:szCs w:val="28"/>
          <w:lang w:val="en-US" w:eastAsia="ru-RU"/>
        </w:rPr>
        <w:t>n</w:t>
      </w:r>
      <w:r>
        <w:rPr>
          <w:rFonts w:ascii="PT Astra Serif" w:eastAsia="Times New Roman" w:hAnsi="PT Astra Serif" w:cs="Times New Roman"/>
          <w:i/>
          <w:sz w:val="28"/>
          <w:szCs w:val="28"/>
          <w:lang w:eastAsia="ru-RU"/>
        </w:rPr>
        <w:t>,</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где:</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V суб – размер иных межбюджетных трансфертов, предусмотренной бюджету поселения;</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k - коэффициент возврата иных межбюджетных трансфертов;</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m - количество показателей результативности использования иных межбюджетных трансфертов, по которым индекс, отражающий уровень недостижения i-го показателя результативности использования иных межбюджетных трансфертов, имеет положительное значение;</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n - общее количество показателей результативности использования иных межбюджетных трансфертов.</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Коэффициент возврата иных межбюджетных трансфертов рассчитывается по формуле:</w:t>
      </w:r>
    </w:p>
    <w:p>
      <w:pPr>
        <w:tabs>
          <w:tab w:val="left" w:pos="1276"/>
        </w:tabs>
        <w:autoSpaceDE w:val="0"/>
        <w:autoSpaceDN w:val="0"/>
        <w:adjustRightInd w:val="0"/>
        <w:spacing w:after="0" w:line="240" w:lineRule="auto"/>
        <w:ind w:firstLine="709"/>
        <w:jc w:val="center"/>
        <w:rPr>
          <w:rFonts w:ascii="PT Astra Serif" w:eastAsia="Calibri" w:hAnsi="PT Astra Serif" w:cs="Times New Roman"/>
          <w:sz w:val="28"/>
          <w:szCs w:val="28"/>
        </w:rPr>
      </w:pPr>
      <w:r>
        <w:rPr>
          <w:rFonts w:ascii="PT Astra Serif" w:eastAsia="Calibri" w:hAnsi="PT Astra Serif" w:cs="Times New Roman"/>
          <w:noProof/>
          <w:sz w:val="28"/>
          <w:szCs w:val="28"/>
          <w:lang w:eastAsia="ru-RU"/>
        </w:rPr>
        <w:drawing>
          <wp:inline distT="0" distB="0" distL="0" distR="0">
            <wp:extent cx="1150620" cy="2971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50620" cy="297180"/>
                    </a:xfrm>
                    <a:prstGeom prst="rect">
                      <a:avLst/>
                    </a:prstGeom>
                    <a:noFill/>
                    <a:ln>
                      <a:noFill/>
                    </a:ln>
                  </pic:spPr>
                </pic:pic>
              </a:graphicData>
            </a:graphic>
          </wp:inline>
        </w:drawing>
      </w:r>
      <w:r>
        <w:rPr>
          <w:rFonts w:ascii="PT Astra Serif" w:eastAsia="Calibri" w:hAnsi="PT Astra Serif" w:cs="Times New Roman"/>
          <w:sz w:val="28"/>
          <w:szCs w:val="28"/>
        </w:rPr>
        <w:t>,</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где:</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noProof/>
          <w:sz w:val="28"/>
          <w:szCs w:val="28"/>
          <w:lang w:eastAsia="ru-RU"/>
        </w:rPr>
        <w:drawing>
          <wp:inline distT="0" distB="0" distL="0" distR="0">
            <wp:extent cx="205740" cy="2971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 cy="297180"/>
                    </a:xfrm>
                    <a:prstGeom prst="rect">
                      <a:avLst/>
                    </a:prstGeom>
                    <a:noFill/>
                    <a:ln>
                      <a:noFill/>
                    </a:ln>
                  </pic:spPr>
                </pic:pic>
              </a:graphicData>
            </a:graphic>
          </wp:inline>
        </w:drawing>
      </w:r>
      <w:r>
        <w:rPr>
          <w:rFonts w:ascii="PT Astra Serif" w:eastAsia="Times New Roman" w:hAnsi="PT Astra Serif" w:cs="Times New Roman"/>
          <w:sz w:val="28"/>
          <w:szCs w:val="28"/>
          <w:lang w:eastAsia="ru-RU"/>
        </w:rPr>
        <w:t xml:space="preserve"> - индекс, отражающий уровень не достижения i-го показателя результативности использования иных межбюджетных трансфертов.</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При расчете коэффициента возврата иных межбюджетных трансфертов используются только положительные значения индекса, отражающего уровень недостижения i-го показателя результативности использования иных межбюджетных трансфертов.</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Индекс, отражающий уровень недостижения i-го показателя результативности использования иных межбюджетных трансфертов, определяется:</w:t>
      </w:r>
    </w:p>
    <w:p>
      <w:pPr>
        <w:pStyle w:val="a3"/>
        <w:numPr>
          <w:ilvl w:val="0"/>
          <w:numId w:val="21"/>
        </w:numPr>
        <w:tabs>
          <w:tab w:val="left" w:pos="1134"/>
        </w:tabs>
        <w:autoSpaceDE w:val="0"/>
        <w:autoSpaceDN w:val="0"/>
        <w:adjustRightInd w:val="0"/>
        <w:spacing w:after="0" w:line="240" w:lineRule="auto"/>
        <w:ind w:left="0"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lastRenderedPageBreak/>
        <w:t>для показателей результативности использования иных межбюджетных трансфертов, по которым большее значение фактически достигнутого значения отражает большую эффективность использования иных межбюджетных трансфертов, - по формуле:</w:t>
      </w:r>
    </w:p>
    <w:p>
      <w:pPr>
        <w:tabs>
          <w:tab w:val="left" w:pos="1276"/>
        </w:tabs>
        <w:autoSpaceDE w:val="0"/>
        <w:autoSpaceDN w:val="0"/>
        <w:adjustRightInd w:val="0"/>
        <w:spacing w:after="0" w:line="240" w:lineRule="auto"/>
        <w:ind w:firstLine="709"/>
        <w:jc w:val="center"/>
        <w:rPr>
          <w:rFonts w:ascii="PT Astra Serif" w:eastAsia="Calibri" w:hAnsi="PT Astra Serif" w:cs="Times New Roman"/>
          <w:sz w:val="28"/>
          <w:szCs w:val="28"/>
        </w:rPr>
      </w:pPr>
      <w:r>
        <w:rPr>
          <w:rFonts w:ascii="PT Astra Serif" w:eastAsia="Calibri" w:hAnsi="PT Astra Serif" w:cs="Times New Roman"/>
          <w:noProof/>
          <w:sz w:val="28"/>
          <w:szCs w:val="28"/>
          <w:lang w:eastAsia="ru-RU"/>
        </w:rPr>
        <w:drawing>
          <wp:inline distT="0" distB="0" distL="0" distR="0">
            <wp:extent cx="1021080" cy="2971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1080" cy="297180"/>
                    </a:xfrm>
                    <a:prstGeom prst="rect">
                      <a:avLst/>
                    </a:prstGeom>
                    <a:noFill/>
                    <a:ln>
                      <a:noFill/>
                    </a:ln>
                  </pic:spPr>
                </pic:pic>
              </a:graphicData>
            </a:graphic>
          </wp:inline>
        </w:drawing>
      </w:r>
      <w:r>
        <w:rPr>
          <w:rFonts w:ascii="PT Astra Serif" w:eastAsia="Calibri" w:hAnsi="PT Astra Serif" w:cs="Times New Roman"/>
          <w:sz w:val="28"/>
          <w:szCs w:val="28"/>
        </w:rPr>
        <w:t>,</w:t>
      </w:r>
    </w:p>
    <w:p>
      <w:pPr>
        <w:tabs>
          <w:tab w:val="left" w:pos="1276"/>
        </w:tabs>
        <w:autoSpaceDE w:val="0"/>
        <w:autoSpaceDN w:val="0"/>
        <w:adjustRightInd w:val="0"/>
        <w:spacing w:after="0" w:line="240" w:lineRule="auto"/>
        <w:ind w:firstLine="709"/>
        <w:jc w:val="both"/>
        <w:rPr>
          <w:rFonts w:ascii="PT Astra Serif" w:eastAsia="Calibri" w:hAnsi="PT Astra Serif" w:cs="Times New Roman"/>
          <w:noProof/>
          <w:sz w:val="28"/>
          <w:szCs w:val="28"/>
          <w:lang w:eastAsia="ru-RU"/>
        </w:rPr>
      </w:pP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где:</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 фактически достигнутое значение i-го показателя результативности использования иных межбюджетных трансфертов на отчетную дату;</w:t>
      </w:r>
    </w:p>
    <w:p>
      <w:pPr>
        <w:tabs>
          <w:tab w:val="left" w:pos="1276"/>
        </w:tabs>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 xml:space="preserve">  - плановое значение i-го показателя результативности использования иных межбюджетных трансфертов, установленное соглашением;</w:t>
      </w:r>
    </w:p>
    <w:p>
      <w:pPr>
        <w:pStyle w:val="a3"/>
        <w:numPr>
          <w:ilvl w:val="0"/>
          <w:numId w:val="21"/>
        </w:numPr>
        <w:tabs>
          <w:tab w:val="left" w:pos="1134"/>
        </w:tabs>
        <w:autoSpaceDE w:val="0"/>
        <w:autoSpaceDN w:val="0"/>
        <w:adjustRightInd w:val="0"/>
        <w:spacing w:after="0" w:line="240" w:lineRule="auto"/>
        <w:ind w:left="0"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 xml:space="preserve">для показателей результативности использования иных </w:t>
      </w:r>
      <w:r>
        <w:rPr>
          <w:rFonts w:ascii="PT Astra Serif" w:eastAsia="Times New Roman" w:hAnsi="PT Astra Serif" w:cs="Times New Roman"/>
          <w:spacing w:val="-20"/>
          <w:sz w:val="28"/>
          <w:szCs w:val="28"/>
          <w:lang w:eastAsia="ru-RU"/>
        </w:rPr>
        <w:t>межбюджетных</w:t>
      </w:r>
      <w:r>
        <w:rPr>
          <w:rFonts w:ascii="PT Astra Serif" w:eastAsia="Times New Roman" w:hAnsi="PT Astra Serif" w:cs="Times New Roman"/>
          <w:sz w:val="28"/>
          <w:szCs w:val="28"/>
          <w:lang w:eastAsia="ru-RU"/>
        </w:rPr>
        <w:t xml:space="preserve"> трансфертов, по которым большее значение фактически достигнутого значения отражает меньшую эффективность использования иных межбюджетных трансфертов, - по формуле:</w:t>
      </w:r>
    </w:p>
    <w:p>
      <w:pPr>
        <w:tabs>
          <w:tab w:val="left" w:pos="1276"/>
        </w:tabs>
        <w:autoSpaceDE w:val="0"/>
        <w:autoSpaceDN w:val="0"/>
        <w:adjustRightInd w:val="0"/>
        <w:spacing w:after="0" w:line="240" w:lineRule="auto"/>
        <w:ind w:firstLine="709"/>
        <w:jc w:val="center"/>
        <w:rPr>
          <w:rFonts w:ascii="PT Astra Serif" w:eastAsia="Calibri" w:hAnsi="PT Astra Serif" w:cs="Times New Roman"/>
          <w:sz w:val="28"/>
          <w:szCs w:val="28"/>
        </w:rPr>
      </w:pPr>
      <w:r>
        <w:rPr>
          <w:rFonts w:ascii="PT Astra Serif" w:eastAsia="Calibri" w:hAnsi="PT Astra Serif" w:cs="Times New Roman"/>
          <w:noProof/>
          <w:sz w:val="28"/>
          <w:szCs w:val="28"/>
          <w:lang w:eastAsia="ru-RU"/>
        </w:rPr>
        <w:drawing>
          <wp:inline distT="0" distB="0" distL="0" distR="0">
            <wp:extent cx="1021080" cy="2971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21080" cy="297180"/>
                    </a:xfrm>
                    <a:prstGeom prst="rect">
                      <a:avLst/>
                    </a:prstGeom>
                    <a:noFill/>
                    <a:ln>
                      <a:noFill/>
                    </a:ln>
                  </pic:spPr>
                </pic:pic>
              </a:graphicData>
            </a:graphic>
          </wp:inline>
        </w:drawing>
      </w:r>
      <w:r>
        <w:rPr>
          <w:rFonts w:ascii="PT Astra Serif" w:eastAsia="Calibri" w:hAnsi="PT Astra Serif" w:cs="Times New Roman"/>
          <w:sz w:val="28"/>
          <w:szCs w:val="28"/>
        </w:rPr>
        <w:t>.</w:t>
      </w:r>
    </w:p>
    <w:p>
      <w:pPr>
        <w:pStyle w:val="a3"/>
        <w:widowControl w:val="0"/>
        <w:numPr>
          <w:ilvl w:val="1"/>
          <w:numId w:val="2"/>
        </w:numPr>
        <w:tabs>
          <w:tab w:val="left" w:pos="1418"/>
        </w:tabs>
        <w:autoSpaceDE w:val="0"/>
        <w:autoSpaceDN w:val="0"/>
        <w:adjustRightInd w:val="0"/>
        <w:spacing w:after="0" w:line="240" w:lineRule="auto"/>
        <w:ind w:left="0"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Основанием для освобождения поселений от применения мер ответственности, предусмотренных пунктом 7.2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 а также иные обязательства, предусмотренные настоящим Порядком.</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Меры финансовой ответственности в соответствии с законодательством Российской Федерации и законодательством автономного округа применяются в следующих случаях:</w:t>
      </w:r>
    </w:p>
    <w:p>
      <w:pPr>
        <w:pStyle w:val="ConsPlusNormal"/>
        <w:numPr>
          <w:ilvl w:val="2"/>
          <w:numId w:val="15"/>
        </w:numPr>
        <w:tabs>
          <w:tab w:val="left" w:pos="1560"/>
        </w:tabs>
        <w:ind w:left="0" w:firstLine="709"/>
        <w:jc w:val="both"/>
        <w:rPr>
          <w:rFonts w:ascii="PT Astra Serif" w:hAnsi="PT Astra Serif"/>
          <w:sz w:val="28"/>
          <w:szCs w:val="28"/>
        </w:rPr>
      </w:pPr>
      <w:r>
        <w:rPr>
          <w:rFonts w:ascii="PT Astra Serif" w:hAnsi="PT Astra Serif"/>
          <w:sz w:val="28"/>
          <w:szCs w:val="28"/>
        </w:rPr>
        <w:t>нецелевое использование иных межбюджетных трансфертов;</w:t>
      </w:r>
    </w:p>
    <w:p>
      <w:pPr>
        <w:pStyle w:val="ConsPlusNormal"/>
        <w:numPr>
          <w:ilvl w:val="2"/>
          <w:numId w:val="15"/>
        </w:numPr>
        <w:tabs>
          <w:tab w:val="left" w:pos="1560"/>
        </w:tabs>
        <w:ind w:left="0" w:firstLine="709"/>
        <w:jc w:val="both"/>
        <w:rPr>
          <w:rFonts w:ascii="PT Astra Serif" w:hAnsi="PT Astra Serif"/>
          <w:sz w:val="28"/>
          <w:szCs w:val="28"/>
        </w:rPr>
      </w:pPr>
      <w:r>
        <w:rPr>
          <w:rFonts w:ascii="PT Astra Serif" w:hAnsi="PT Astra Serif"/>
          <w:sz w:val="28"/>
          <w:szCs w:val="28"/>
        </w:rPr>
        <w:t>нарушение сроков возврата иных межбюджетных трансфертов;</w:t>
      </w:r>
    </w:p>
    <w:p>
      <w:pPr>
        <w:pStyle w:val="ConsPlusNormal"/>
        <w:numPr>
          <w:ilvl w:val="2"/>
          <w:numId w:val="15"/>
        </w:numPr>
        <w:tabs>
          <w:tab w:val="left" w:pos="1560"/>
        </w:tabs>
        <w:ind w:left="0" w:firstLine="709"/>
        <w:jc w:val="both"/>
        <w:rPr>
          <w:rFonts w:ascii="PT Astra Serif" w:hAnsi="PT Astra Serif"/>
          <w:sz w:val="28"/>
          <w:szCs w:val="28"/>
        </w:rPr>
      </w:pPr>
      <w:r>
        <w:rPr>
          <w:rFonts w:ascii="PT Astra Serif" w:hAnsi="PT Astra Serif"/>
          <w:sz w:val="28"/>
          <w:szCs w:val="28"/>
        </w:rPr>
        <w:t>невыполнение условий соглашения.</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В случае если поселением не достигнуты значения показателей результативности использования иных межбюджетных трансфертов, Уполномоченный орган в отношении такого поселения вправе принять решение о применении меры ответственности в виде сокращения размера иных межбюджетных трансфертов.</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t>В случае принятия решения о сокращении иных межбюджетных трансфертов, а также в случае если к поселению применяются обязательства                 по возврату средств, бюджетные ассигнования бюджета муниципального образования Тазовский район, удержанные у поселения, подлежат перераспределению между участвующими в реализации мероприятий поселениями, которые представили сведения о потребности в дополнительных средствах бюджета муниципального образования Тазовский район, путем внесения изменений в решение Районной Думы муниципального                      образования Тазовский район о бюджете на соответствующий финансовый год и на плановый период и (или) в сводную бюджетную роспись бюджета муниципального образования Тазовский район.</w:t>
      </w:r>
    </w:p>
    <w:p>
      <w:pPr>
        <w:pStyle w:val="ConsPlusNormal"/>
        <w:tabs>
          <w:tab w:val="left" w:pos="1276"/>
        </w:tabs>
        <w:ind w:firstLine="709"/>
        <w:jc w:val="both"/>
        <w:rPr>
          <w:rFonts w:ascii="PT Astra Serif" w:hAnsi="PT Astra Serif"/>
          <w:sz w:val="28"/>
          <w:szCs w:val="28"/>
        </w:rPr>
      </w:pPr>
      <w:r>
        <w:rPr>
          <w:rFonts w:ascii="PT Astra Serif" w:hAnsi="PT Astra Serif"/>
          <w:sz w:val="28"/>
          <w:szCs w:val="28"/>
        </w:rPr>
        <w:lastRenderedPageBreak/>
        <w:t>Исполнение решения о сокращении иных межбюджетных трансфертов обеспечивается департаментом финансов Администрации Тазовского района                 в установленном им порядке.</w:t>
      </w:r>
    </w:p>
    <w:p>
      <w:pPr>
        <w:pStyle w:val="ConsPlusNormal"/>
        <w:numPr>
          <w:ilvl w:val="1"/>
          <w:numId w:val="15"/>
        </w:numPr>
        <w:tabs>
          <w:tab w:val="left" w:pos="1418"/>
        </w:tabs>
        <w:ind w:left="0" w:firstLine="709"/>
        <w:jc w:val="both"/>
        <w:rPr>
          <w:rFonts w:ascii="PT Astra Serif" w:hAnsi="PT Astra Serif"/>
          <w:sz w:val="28"/>
          <w:szCs w:val="28"/>
        </w:rPr>
      </w:pPr>
      <w:r>
        <w:rPr>
          <w:rFonts w:ascii="PT Astra Serif" w:hAnsi="PT Astra Serif"/>
          <w:sz w:val="28"/>
          <w:szCs w:val="28"/>
        </w:rPr>
        <w:t>Контроль за соблюдением поселениями условий предоставления иных межбюджетных трансфертов осуществляется Уполномоченным органом и органами муниципального и финансового контроля.</w:t>
      </w:r>
    </w:p>
    <w:sectPr>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8239341"/>
      <w:docPartObj>
        <w:docPartGallery w:val="Page Numbers (Top of Page)"/>
        <w:docPartUnique/>
      </w:docPartObj>
    </w:sdtPr>
    <w:sdtEndPr>
      <w:rPr>
        <w:rFonts w:ascii="PT Astra Serif" w:hAnsi="PT Astra Serif"/>
        <w:sz w:val="24"/>
      </w:rPr>
    </w:sdtEndPr>
    <w:sdtContent>
      <w:p>
        <w:pPr>
          <w:pStyle w:val="a4"/>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PAGE   \* MERGEFORMAT</w:instrText>
        </w:r>
        <w:r>
          <w:rPr>
            <w:rFonts w:ascii="PT Astra Serif" w:hAnsi="PT Astra Serif"/>
            <w:sz w:val="24"/>
          </w:rPr>
          <w:fldChar w:fldCharType="separate"/>
        </w:r>
        <w:r>
          <w:rPr>
            <w:rFonts w:ascii="PT Astra Serif" w:hAnsi="PT Astra Serif"/>
            <w:noProof/>
            <w:sz w:val="24"/>
          </w:rPr>
          <w:t>2</w:t>
        </w:r>
        <w:r>
          <w:rPr>
            <w:rFonts w:ascii="PT Astra Serif" w:hAnsi="PT Astra Serif"/>
            <w:sz w:val="24"/>
          </w:rPr>
          <w:fldChar w:fldCharType="end"/>
        </w:r>
      </w:p>
    </w:sdtContent>
  </w:sdt>
  <w:p>
    <w:pPr>
      <w:pStyle w:val="a4"/>
      <w:rPr>
        <w:rFonts w:ascii="PT Astra Serif" w:hAnsi="PT Astra Serif"/>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5596"/>
    <w:multiLevelType w:val="multilevel"/>
    <w:tmpl w:val="9932A3BA"/>
    <w:lvl w:ilvl="0">
      <w:start w:val="1"/>
      <w:numFmt w:val="upperRoman"/>
      <w:lvlText w:val="%1."/>
      <w:lvlJc w:val="left"/>
      <w:pPr>
        <w:ind w:left="1080" w:hanging="720"/>
      </w:pPr>
      <w:rPr>
        <w:rFonts w:hint="default"/>
      </w:rPr>
    </w:lvl>
    <w:lvl w:ilvl="1">
      <w:start w:val="1"/>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nsid w:val="0F9B59E5"/>
    <w:multiLevelType w:val="multilevel"/>
    <w:tmpl w:val="FB603368"/>
    <w:lvl w:ilvl="0">
      <w:start w:val="7"/>
      <w:numFmt w:val="decimal"/>
      <w:lvlText w:val="%1."/>
      <w:lvlJc w:val="left"/>
      <w:pPr>
        <w:ind w:left="540" w:hanging="540"/>
      </w:pPr>
      <w:rPr>
        <w:rFonts w:hint="default"/>
      </w:rPr>
    </w:lvl>
    <w:lvl w:ilvl="1">
      <w:start w:val="2"/>
      <w:numFmt w:val="decimal"/>
      <w:lvlText w:val="%1.%2."/>
      <w:lvlJc w:val="left"/>
      <w:pPr>
        <w:ind w:left="1327" w:hanging="540"/>
      </w:pPr>
      <w:rPr>
        <w:rFonts w:hint="default"/>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4228" w:hanging="108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6162" w:hanging="1440"/>
      </w:pPr>
      <w:rPr>
        <w:rFonts w:hint="default"/>
      </w:rPr>
    </w:lvl>
    <w:lvl w:ilvl="7">
      <w:start w:val="1"/>
      <w:numFmt w:val="decimal"/>
      <w:lvlText w:val="%1.%2.%3.%4.%5.%6.%7.%8."/>
      <w:lvlJc w:val="left"/>
      <w:pPr>
        <w:ind w:left="6949" w:hanging="1440"/>
      </w:pPr>
      <w:rPr>
        <w:rFonts w:hint="default"/>
      </w:rPr>
    </w:lvl>
    <w:lvl w:ilvl="8">
      <w:start w:val="1"/>
      <w:numFmt w:val="decimal"/>
      <w:lvlText w:val="%1.%2.%3.%4.%5.%6.%7.%8.%9."/>
      <w:lvlJc w:val="left"/>
      <w:pPr>
        <w:ind w:left="8096" w:hanging="1800"/>
      </w:pPr>
      <w:rPr>
        <w:rFonts w:hint="default"/>
      </w:rPr>
    </w:lvl>
  </w:abstractNum>
  <w:abstractNum w:abstractNumId="2">
    <w:nsid w:val="109962A9"/>
    <w:multiLevelType w:val="multilevel"/>
    <w:tmpl w:val="FB603368"/>
    <w:lvl w:ilvl="0">
      <w:start w:val="7"/>
      <w:numFmt w:val="decimal"/>
      <w:lvlText w:val="%1."/>
      <w:lvlJc w:val="left"/>
      <w:pPr>
        <w:ind w:left="540" w:hanging="540"/>
      </w:pPr>
      <w:rPr>
        <w:rFonts w:hint="default"/>
      </w:rPr>
    </w:lvl>
    <w:lvl w:ilvl="1">
      <w:start w:val="2"/>
      <w:numFmt w:val="decimal"/>
      <w:lvlText w:val="%1.%2."/>
      <w:lvlJc w:val="left"/>
      <w:pPr>
        <w:ind w:left="1327" w:hanging="540"/>
      </w:pPr>
      <w:rPr>
        <w:rFonts w:hint="default"/>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4228" w:hanging="108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6162" w:hanging="1440"/>
      </w:pPr>
      <w:rPr>
        <w:rFonts w:hint="default"/>
      </w:rPr>
    </w:lvl>
    <w:lvl w:ilvl="7">
      <w:start w:val="1"/>
      <w:numFmt w:val="decimal"/>
      <w:lvlText w:val="%1.%2.%3.%4.%5.%6.%7.%8."/>
      <w:lvlJc w:val="left"/>
      <w:pPr>
        <w:ind w:left="6949" w:hanging="1440"/>
      </w:pPr>
      <w:rPr>
        <w:rFonts w:hint="default"/>
      </w:rPr>
    </w:lvl>
    <w:lvl w:ilvl="8">
      <w:start w:val="1"/>
      <w:numFmt w:val="decimal"/>
      <w:lvlText w:val="%1.%2.%3.%4.%5.%6.%7.%8.%9."/>
      <w:lvlJc w:val="left"/>
      <w:pPr>
        <w:ind w:left="8096" w:hanging="1800"/>
      </w:pPr>
      <w:rPr>
        <w:rFonts w:hint="default"/>
      </w:rPr>
    </w:lvl>
  </w:abstractNum>
  <w:abstractNum w:abstractNumId="3">
    <w:nsid w:val="16DD4DE3"/>
    <w:multiLevelType w:val="multilevel"/>
    <w:tmpl w:val="9932A3BA"/>
    <w:lvl w:ilvl="0">
      <w:start w:val="1"/>
      <w:numFmt w:val="upperRoman"/>
      <w:lvlText w:val="%1."/>
      <w:lvlJc w:val="left"/>
      <w:pPr>
        <w:ind w:left="1080" w:hanging="720"/>
      </w:pPr>
      <w:rPr>
        <w:rFonts w:hint="default"/>
      </w:rPr>
    </w:lvl>
    <w:lvl w:ilvl="1">
      <w:start w:val="1"/>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
    <w:nsid w:val="24AD2C2A"/>
    <w:multiLevelType w:val="multilevel"/>
    <w:tmpl w:val="9932A3BA"/>
    <w:lvl w:ilvl="0">
      <w:start w:val="1"/>
      <w:numFmt w:val="upperRoman"/>
      <w:lvlText w:val="%1."/>
      <w:lvlJc w:val="left"/>
      <w:pPr>
        <w:ind w:left="1080" w:hanging="720"/>
      </w:pPr>
      <w:rPr>
        <w:rFonts w:hint="default"/>
      </w:rPr>
    </w:lvl>
    <w:lvl w:ilvl="1">
      <w:start w:val="1"/>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5">
    <w:nsid w:val="29196A84"/>
    <w:multiLevelType w:val="multilevel"/>
    <w:tmpl w:val="9932A3BA"/>
    <w:lvl w:ilvl="0">
      <w:start w:val="1"/>
      <w:numFmt w:val="upperRoman"/>
      <w:lvlText w:val="%1."/>
      <w:lvlJc w:val="left"/>
      <w:pPr>
        <w:ind w:left="1080" w:hanging="720"/>
      </w:pPr>
      <w:rPr>
        <w:rFonts w:hint="default"/>
      </w:rPr>
    </w:lvl>
    <w:lvl w:ilvl="1">
      <w:start w:val="1"/>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nsid w:val="2B564160"/>
    <w:multiLevelType w:val="multilevel"/>
    <w:tmpl w:val="99CE156E"/>
    <w:lvl w:ilvl="0">
      <w:start w:val="2"/>
      <w:numFmt w:val="decimal"/>
      <w:lvlText w:val="%1."/>
      <w:lvlJc w:val="left"/>
      <w:pPr>
        <w:ind w:left="540" w:hanging="540"/>
      </w:pPr>
      <w:rPr>
        <w:rFonts w:hint="default"/>
      </w:rPr>
    </w:lvl>
    <w:lvl w:ilvl="1">
      <w:start w:val="2"/>
      <w:numFmt w:val="decimal"/>
      <w:lvlText w:val="%1.%2."/>
      <w:lvlJc w:val="left"/>
      <w:pPr>
        <w:ind w:left="1248" w:hanging="54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2B5A4633"/>
    <w:multiLevelType w:val="hybridMultilevel"/>
    <w:tmpl w:val="D188F0D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3591358"/>
    <w:multiLevelType w:val="multilevel"/>
    <w:tmpl w:val="9932A3BA"/>
    <w:lvl w:ilvl="0">
      <w:start w:val="1"/>
      <w:numFmt w:val="upperRoman"/>
      <w:lvlText w:val="%1."/>
      <w:lvlJc w:val="left"/>
      <w:pPr>
        <w:ind w:left="1080" w:hanging="720"/>
      </w:pPr>
      <w:rPr>
        <w:rFonts w:hint="default"/>
      </w:rPr>
    </w:lvl>
    <w:lvl w:ilvl="1">
      <w:start w:val="1"/>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nsid w:val="387644EC"/>
    <w:multiLevelType w:val="hybridMultilevel"/>
    <w:tmpl w:val="99BE9C5C"/>
    <w:lvl w:ilvl="0" w:tplc="84FE9B50">
      <w:start w:val="1"/>
      <w:numFmt w:val="russianLower"/>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D6923C4"/>
    <w:multiLevelType w:val="hybridMultilevel"/>
    <w:tmpl w:val="9F10BBE8"/>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0F1460"/>
    <w:multiLevelType w:val="multilevel"/>
    <w:tmpl w:val="99CE156E"/>
    <w:lvl w:ilvl="0">
      <w:start w:val="2"/>
      <w:numFmt w:val="decimal"/>
      <w:lvlText w:val="%1."/>
      <w:lvlJc w:val="left"/>
      <w:pPr>
        <w:ind w:left="540" w:hanging="540"/>
      </w:pPr>
      <w:rPr>
        <w:rFonts w:hint="default"/>
      </w:rPr>
    </w:lvl>
    <w:lvl w:ilvl="1">
      <w:start w:val="2"/>
      <w:numFmt w:val="decimal"/>
      <w:lvlText w:val="%1.%2."/>
      <w:lvlJc w:val="left"/>
      <w:pPr>
        <w:ind w:left="1248" w:hanging="54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C9536E1"/>
    <w:multiLevelType w:val="multilevel"/>
    <w:tmpl w:val="9932A3BA"/>
    <w:lvl w:ilvl="0">
      <w:start w:val="1"/>
      <w:numFmt w:val="upperRoman"/>
      <w:lvlText w:val="%1."/>
      <w:lvlJc w:val="left"/>
      <w:pPr>
        <w:ind w:left="1080" w:hanging="720"/>
      </w:pPr>
      <w:rPr>
        <w:rFonts w:hint="default"/>
      </w:rPr>
    </w:lvl>
    <w:lvl w:ilvl="1">
      <w:start w:val="1"/>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3">
    <w:nsid w:val="527D4B35"/>
    <w:multiLevelType w:val="hybridMultilevel"/>
    <w:tmpl w:val="FFD05F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37E3FEB"/>
    <w:multiLevelType w:val="multilevel"/>
    <w:tmpl w:val="77BCE018"/>
    <w:lvl w:ilvl="0">
      <w:start w:val="2"/>
      <w:numFmt w:val="decimal"/>
      <w:lvlText w:val="%1."/>
      <w:lvlJc w:val="left"/>
      <w:pPr>
        <w:ind w:left="540" w:hanging="540"/>
      </w:pPr>
      <w:rPr>
        <w:rFonts w:hint="default"/>
      </w:rPr>
    </w:lvl>
    <w:lvl w:ilvl="1">
      <w:start w:val="1"/>
      <w:numFmt w:val="decimal"/>
      <w:lvlText w:val="%1.%2."/>
      <w:lvlJc w:val="left"/>
      <w:pPr>
        <w:ind w:left="1417" w:hanging="540"/>
      </w:pPr>
      <w:rPr>
        <w:rFonts w:hint="default"/>
      </w:rPr>
    </w:lvl>
    <w:lvl w:ilvl="2">
      <w:start w:val="1"/>
      <w:numFmt w:val="decimal"/>
      <w:lvlText w:val="%1.%2.%3."/>
      <w:lvlJc w:val="left"/>
      <w:pPr>
        <w:ind w:left="2474" w:hanging="720"/>
      </w:pPr>
      <w:rPr>
        <w:rFonts w:hint="default"/>
      </w:rPr>
    </w:lvl>
    <w:lvl w:ilvl="3">
      <w:start w:val="1"/>
      <w:numFmt w:val="decimal"/>
      <w:lvlText w:val="%1.%2.%3.%4."/>
      <w:lvlJc w:val="left"/>
      <w:pPr>
        <w:ind w:left="3351" w:hanging="720"/>
      </w:pPr>
      <w:rPr>
        <w:rFonts w:hint="default"/>
      </w:rPr>
    </w:lvl>
    <w:lvl w:ilvl="4">
      <w:start w:val="1"/>
      <w:numFmt w:val="decimal"/>
      <w:lvlText w:val="%1.%2.%3.%4.%5."/>
      <w:lvlJc w:val="left"/>
      <w:pPr>
        <w:ind w:left="4588" w:hanging="1080"/>
      </w:pPr>
      <w:rPr>
        <w:rFonts w:hint="default"/>
      </w:rPr>
    </w:lvl>
    <w:lvl w:ilvl="5">
      <w:start w:val="1"/>
      <w:numFmt w:val="decimal"/>
      <w:lvlText w:val="%1.%2.%3.%4.%5.%6."/>
      <w:lvlJc w:val="left"/>
      <w:pPr>
        <w:ind w:left="5465" w:hanging="1080"/>
      </w:pPr>
      <w:rPr>
        <w:rFonts w:hint="default"/>
      </w:rPr>
    </w:lvl>
    <w:lvl w:ilvl="6">
      <w:start w:val="1"/>
      <w:numFmt w:val="decimal"/>
      <w:lvlText w:val="%1.%2.%3.%4.%5.%6.%7."/>
      <w:lvlJc w:val="left"/>
      <w:pPr>
        <w:ind w:left="6702" w:hanging="1440"/>
      </w:pPr>
      <w:rPr>
        <w:rFonts w:hint="default"/>
      </w:rPr>
    </w:lvl>
    <w:lvl w:ilvl="7">
      <w:start w:val="1"/>
      <w:numFmt w:val="decimal"/>
      <w:lvlText w:val="%1.%2.%3.%4.%5.%6.%7.%8."/>
      <w:lvlJc w:val="left"/>
      <w:pPr>
        <w:ind w:left="7579" w:hanging="1440"/>
      </w:pPr>
      <w:rPr>
        <w:rFonts w:hint="default"/>
      </w:rPr>
    </w:lvl>
    <w:lvl w:ilvl="8">
      <w:start w:val="1"/>
      <w:numFmt w:val="decimal"/>
      <w:lvlText w:val="%1.%2.%3.%4.%5.%6.%7.%8.%9."/>
      <w:lvlJc w:val="left"/>
      <w:pPr>
        <w:ind w:left="8816" w:hanging="1800"/>
      </w:pPr>
      <w:rPr>
        <w:rFonts w:hint="default"/>
      </w:rPr>
    </w:lvl>
  </w:abstractNum>
  <w:abstractNum w:abstractNumId="15">
    <w:nsid w:val="6FE91430"/>
    <w:multiLevelType w:val="multilevel"/>
    <w:tmpl w:val="7A98C058"/>
    <w:lvl w:ilvl="0">
      <w:start w:val="9"/>
      <w:numFmt w:val="upperRoman"/>
      <w:lvlText w:val="%1."/>
      <w:lvlJc w:val="left"/>
      <w:pPr>
        <w:ind w:left="1582" w:hanging="720"/>
      </w:pPr>
      <w:rPr>
        <w:rFonts w:hint="default"/>
      </w:rPr>
    </w:lvl>
    <w:lvl w:ilvl="1">
      <w:start w:val="1"/>
      <w:numFmt w:val="decimal"/>
      <w:isLgl/>
      <w:lvlText w:val="%1.%2."/>
      <w:lvlJc w:val="left"/>
      <w:pPr>
        <w:ind w:left="1582"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1080"/>
      </w:pPr>
      <w:rPr>
        <w:rFonts w:hint="default"/>
      </w:rPr>
    </w:lvl>
    <w:lvl w:ilvl="4">
      <w:start w:val="1"/>
      <w:numFmt w:val="decimal"/>
      <w:isLgl/>
      <w:lvlText w:val="%1.%2.%3.%4.%5."/>
      <w:lvlJc w:val="left"/>
      <w:pPr>
        <w:ind w:left="1942" w:hanging="1080"/>
      </w:pPr>
      <w:rPr>
        <w:rFonts w:hint="default"/>
      </w:rPr>
    </w:lvl>
    <w:lvl w:ilvl="5">
      <w:start w:val="1"/>
      <w:numFmt w:val="decimal"/>
      <w:isLgl/>
      <w:lvlText w:val="%1.%2.%3.%4.%5.%6."/>
      <w:lvlJc w:val="left"/>
      <w:pPr>
        <w:ind w:left="2302" w:hanging="1440"/>
      </w:pPr>
      <w:rPr>
        <w:rFonts w:hint="default"/>
      </w:rPr>
    </w:lvl>
    <w:lvl w:ilvl="6">
      <w:start w:val="1"/>
      <w:numFmt w:val="decimal"/>
      <w:isLgl/>
      <w:lvlText w:val="%1.%2.%3.%4.%5.%6.%7."/>
      <w:lvlJc w:val="left"/>
      <w:pPr>
        <w:ind w:left="2662" w:hanging="1800"/>
      </w:pPr>
      <w:rPr>
        <w:rFonts w:hint="default"/>
      </w:rPr>
    </w:lvl>
    <w:lvl w:ilvl="7">
      <w:start w:val="1"/>
      <w:numFmt w:val="decimal"/>
      <w:isLgl/>
      <w:lvlText w:val="%1.%2.%3.%4.%5.%6.%7.%8."/>
      <w:lvlJc w:val="left"/>
      <w:pPr>
        <w:ind w:left="2662" w:hanging="1800"/>
      </w:pPr>
      <w:rPr>
        <w:rFonts w:hint="default"/>
      </w:rPr>
    </w:lvl>
    <w:lvl w:ilvl="8">
      <w:start w:val="1"/>
      <w:numFmt w:val="decimal"/>
      <w:isLgl/>
      <w:lvlText w:val="%1.%2.%3.%4.%5.%6.%7.%8.%9."/>
      <w:lvlJc w:val="left"/>
      <w:pPr>
        <w:ind w:left="3022" w:hanging="2160"/>
      </w:pPr>
      <w:rPr>
        <w:rFonts w:hint="default"/>
      </w:rPr>
    </w:lvl>
  </w:abstractNum>
  <w:abstractNum w:abstractNumId="16">
    <w:nsid w:val="7055308C"/>
    <w:multiLevelType w:val="multilevel"/>
    <w:tmpl w:val="9932A3BA"/>
    <w:lvl w:ilvl="0">
      <w:start w:val="1"/>
      <w:numFmt w:val="upperRoman"/>
      <w:lvlText w:val="%1."/>
      <w:lvlJc w:val="left"/>
      <w:pPr>
        <w:ind w:left="1080" w:hanging="720"/>
      </w:pPr>
      <w:rPr>
        <w:rFonts w:hint="default"/>
      </w:rPr>
    </w:lvl>
    <w:lvl w:ilvl="1">
      <w:start w:val="1"/>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7">
    <w:nsid w:val="709B3B1E"/>
    <w:multiLevelType w:val="hybridMultilevel"/>
    <w:tmpl w:val="36E65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B54836"/>
    <w:multiLevelType w:val="multilevel"/>
    <w:tmpl w:val="9932A3BA"/>
    <w:lvl w:ilvl="0">
      <w:start w:val="1"/>
      <w:numFmt w:val="upperRoman"/>
      <w:lvlText w:val="%1."/>
      <w:lvlJc w:val="left"/>
      <w:pPr>
        <w:ind w:left="1080" w:hanging="720"/>
      </w:pPr>
      <w:rPr>
        <w:rFonts w:hint="default"/>
      </w:rPr>
    </w:lvl>
    <w:lvl w:ilvl="1">
      <w:start w:val="1"/>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nsid w:val="7AF25C9C"/>
    <w:multiLevelType w:val="multilevel"/>
    <w:tmpl w:val="4B3255BC"/>
    <w:lvl w:ilvl="0">
      <w:start w:val="7"/>
      <w:numFmt w:val="decimal"/>
      <w:lvlText w:val="%1"/>
      <w:lvlJc w:val="left"/>
      <w:pPr>
        <w:ind w:left="360" w:hanging="360"/>
      </w:pPr>
      <w:rPr>
        <w:rFonts w:hint="default"/>
      </w:rPr>
    </w:lvl>
    <w:lvl w:ilvl="1">
      <w:start w:val="2"/>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0">
    <w:nsid w:val="7E2070FA"/>
    <w:multiLevelType w:val="hybridMultilevel"/>
    <w:tmpl w:val="19808954"/>
    <w:lvl w:ilvl="0" w:tplc="84FE9B50">
      <w:start w:val="1"/>
      <w:numFmt w:val="russianLower"/>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19"/>
  </w:num>
  <w:num w:numId="3">
    <w:abstractNumId w:val="17"/>
  </w:num>
  <w:num w:numId="4">
    <w:abstractNumId w:val="3"/>
  </w:num>
  <w:num w:numId="5">
    <w:abstractNumId w:val="8"/>
  </w:num>
  <w:num w:numId="6">
    <w:abstractNumId w:val="16"/>
  </w:num>
  <w:num w:numId="7">
    <w:abstractNumId w:val="14"/>
  </w:num>
  <w:num w:numId="8">
    <w:abstractNumId w:val="11"/>
  </w:num>
  <w:num w:numId="9">
    <w:abstractNumId w:val="6"/>
  </w:num>
  <w:num w:numId="10">
    <w:abstractNumId w:val="0"/>
  </w:num>
  <w:num w:numId="11">
    <w:abstractNumId w:val="12"/>
  </w:num>
  <w:num w:numId="12">
    <w:abstractNumId w:val="18"/>
  </w:num>
  <w:num w:numId="13">
    <w:abstractNumId w:val="5"/>
  </w:num>
  <w:num w:numId="14">
    <w:abstractNumId w:val="4"/>
  </w:num>
  <w:num w:numId="15">
    <w:abstractNumId w:val="1"/>
  </w:num>
  <w:num w:numId="16">
    <w:abstractNumId w:val="2"/>
  </w:num>
  <w:num w:numId="17">
    <w:abstractNumId w:val="10"/>
  </w:num>
  <w:num w:numId="18">
    <w:abstractNumId w:val="7"/>
  </w:num>
  <w:num w:numId="19">
    <w:abstractNumId w:val="13"/>
  </w:num>
  <w:num w:numId="20">
    <w:abstractNumId w:val="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9E1F9B-64D8-4537-AB6A-FFFC141ED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pPr>
      <w:ind w:left="720"/>
      <w:contextualSpacing/>
    </w:pPr>
  </w:style>
  <w:style w:type="paragraph" w:styleId="a4">
    <w:name w:val="header"/>
    <w:basedOn w:val="a"/>
    <w:link w:val="a5"/>
    <w:uiPriority w:val="99"/>
    <w:unhideWhenUsed/>
    <w:pPr>
      <w:tabs>
        <w:tab w:val="center" w:pos="4677"/>
        <w:tab w:val="right" w:pos="9355"/>
      </w:tabs>
      <w:spacing w:after="0" w:line="240" w:lineRule="auto"/>
    </w:pPr>
  </w:style>
  <w:style w:type="character" w:customStyle="1" w:styleId="a5">
    <w:name w:val="Верхний колонтитул Знак"/>
    <w:basedOn w:val="a0"/>
    <w:link w:val="a4"/>
    <w:uiPriority w:val="99"/>
  </w:style>
  <w:style w:type="paragraph" w:styleId="a6">
    <w:name w:val="footer"/>
    <w:basedOn w:val="a"/>
    <w:link w:val="a7"/>
    <w:uiPriority w:val="99"/>
    <w:unhideWhenUsed/>
    <w:pPr>
      <w:tabs>
        <w:tab w:val="center" w:pos="4677"/>
        <w:tab w:val="right" w:pos="9355"/>
      </w:tabs>
      <w:spacing w:after="0" w:line="240" w:lineRule="auto"/>
    </w:pPr>
  </w:style>
  <w:style w:type="character" w:customStyle="1" w:styleId="a7">
    <w:name w:val="Нижний колонтитул Знак"/>
    <w:basedOn w:val="a0"/>
    <w:link w:val="a6"/>
    <w:uiPriority w:val="99"/>
  </w:style>
  <w:style w:type="paragraph" w:styleId="a8">
    <w:name w:val="Balloon Text"/>
    <w:basedOn w:val="a"/>
    <w:link w:val="a9"/>
    <w:uiPriority w:val="99"/>
    <w:semiHidden/>
    <w:unhideWhenUse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B4D0A580E3D1BB0AA05F579815F876D9F9586B3CA9A33AE6D4980231BF3F35CEC512C7F6D63A857B522134BD2AEB2B26B50682BD51BC6DD88948B91KCZ3D" TargetMode="External"/><Relationship Id="rId13" Type="http://schemas.openxmlformats.org/officeDocument/2006/relationships/hyperlink" Target="consultantplus://offline/ref=2B4D0A580E3D1BB0AA05F579815F876D9F9586B3CA9A31A1654F80231BF3F35CEC512C7F6D63A857B522114FDCAEB2B26B50682BD51BC6DD88948B91KCZ3D" TargetMode="Externa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2B4D0A580E3D1BB0AA05F579815F876D9F9586B3CA9A33AE6D4980231BF3F35CEC512C7F6D63A857B522124CD5AEB2B26B50682BD51BC6DD88948B91KCZ3D" TargetMode="External"/><Relationship Id="rId12" Type="http://schemas.openxmlformats.org/officeDocument/2006/relationships/hyperlink" Target="consultantplus://offline/ref=2B4D0A580E3D1BB0AA05F579815F876D9F9586B3CA9A31A1654F80231BF3F35CEC512C7F6D63A857B5221B4DD4AEB2B26B50682BD51BC6DD88948B91KCZ3D" TargetMode="Externa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B4D0A580E3D1BB0AA05F579815F876D9F9586B3CA9A31A1654F80231BF3F35CEC512C7F6D63A857B522154AD1AEB2B26B50682BD51BC6DD88948B91KCZ3D" TargetMode="External"/><Relationship Id="rId5" Type="http://schemas.openxmlformats.org/officeDocument/2006/relationships/footnotes" Target="footnotes.xml"/><Relationship Id="rId15" Type="http://schemas.openxmlformats.org/officeDocument/2006/relationships/hyperlink" Target="consultantplus://offline/ref=2B4D0A580E3D1BB0AA05EB749733D0609A9AD8BDC99C38F1311B867444A3F509AC112A2A2E26AC54B729461C91F0EBE22F1B652CCB07C6D9K9Z6D" TargetMode="External"/><Relationship Id="rId10" Type="http://schemas.openxmlformats.org/officeDocument/2006/relationships/hyperlink" Target="consultantplus://offline/ref=2B4D0A580E3D1BB0AA05F579815F876D9F9586B3CA9A31A1654F80231BF3F35CEC512C7F6D63A857B522154BD7AEB2B26B50682BD51BC6DD88948B91KCZ3D" TargetMode="External"/><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hyperlink" Target="consultantplus://offline/ref=2B4D0A580E3D1BB0AA05EB749733D0609A9BD9BCCD9138F1311B867444A3F509BE1172262F27BB56B33C104DD7KAZ5D" TargetMode="External"/><Relationship Id="rId14" Type="http://schemas.openxmlformats.org/officeDocument/2006/relationships/hyperlink" Target="consultantplus://offline/ref=2B4D0A580E3D1BB0AA05F579815F876D9F9586B3CA9A31A1654F80231BF3F35CEC512C7F6D63A857B5221148D7AEB2B26B50682BD51BC6DD88948B91KCZ3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10</Pages>
  <Words>3639</Words>
  <Characters>20746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Фадеева Алена Михайловна</cp:lastModifiedBy>
  <cp:revision>15</cp:revision>
  <cp:lastPrinted>2020-08-12T09:32:00Z</cp:lastPrinted>
  <dcterms:created xsi:type="dcterms:W3CDTF">2020-06-10T03:25:00Z</dcterms:created>
  <dcterms:modified xsi:type="dcterms:W3CDTF">2020-08-12T09:32:00Z</dcterms:modified>
</cp:coreProperties>
</file>