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rPr>
          <w:rFonts w:ascii="PT Astra Serif" w:hAnsi="PT Astra Serif"/>
          <w:color w:val="000000"/>
          <w:szCs w:val="28"/>
        </w:rPr>
      </w:pPr>
      <w:bookmarkStart w:id="0" w:name="_GoBack"/>
      <w:bookmarkEnd w:id="0"/>
      <w:r>
        <w:rPr>
          <w:rFonts w:ascii="PT Astra Serif" w:hAnsi="PT Astra Serif"/>
          <w:color w:val="000000"/>
          <w:szCs w:val="28"/>
        </w:rPr>
        <w:t>УТВЕРЖДЕН</w:t>
      </w:r>
    </w:p>
    <w:p>
      <w:pPr>
        <w:autoSpaceDE w:val="0"/>
        <w:autoSpaceDN w:val="0"/>
        <w:adjustRightInd w:val="0"/>
        <w:spacing w:after="0" w:line="240" w:lineRule="auto"/>
        <w:ind w:left="4820"/>
        <w:rPr>
          <w:rFonts w:ascii="PT Astra Serif" w:hAnsi="PT Astra Serif"/>
          <w:color w:val="000000"/>
          <w:szCs w:val="28"/>
        </w:rPr>
      </w:pPr>
      <w:r>
        <w:rPr>
          <w:rFonts w:ascii="PT Astra Serif" w:hAnsi="PT Astra Serif"/>
          <w:color w:val="000000"/>
          <w:szCs w:val="28"/>
        </w:rPr>
        <w:t xml:space="preserve">постановлением </w:t>
      </w:r>
    </w:p>
    <w:p>
      <w:pPr>
        <w:autoSpaceDE w:val="0"/>
        <w:autoSpaceDN w:val="0"/>
        <w:adjustRightInd w:val="0"/>
        <w:spacing w:after="0" w:line="240" w:lineRule="auto"/>
        <w:ind w:left="4820"/>
        <w:rPr>
          <w:rFonts w:ascii="PT Astra Serif" w:hAnsi="PT Astra Serif"/>
          <w:color w:val="000000"/>
          <w:szCs w:val="28"/>
        </w:rPr>
      </w:pPr>
      <w:r>
        <w:rPr>
          <w:rFonts w:ascii="PT Astra Serif" w:hAnsi="PT Astra Serif"/>
          <w:color w:val="000000"/>
          <w:szCs w:val="28"/>
        </w:rPr>
        <w:t>Администрации Тазовского района</w:t>
      </w:r>
    </w:p>
    <w:p>
      <w:pPr>
        <w:autoSpaceDE w:val="0"/>
        <w:autoSpaceDN w:val="0"/>
        <w:adjustRightInd w:val="0"/>
        <w:spacing w:after="0" w:line="240" w:lineRule="auto"/>
        <w:ind w:left="4820"/>
        <w:jc w:val="both"/>
        <w:rPr>
          <w:rFonts w:ascii="PT Astra Serif" w:hAnsi="PT Astra Serif"/>
          <w:color w:val="000000"/>
          <w:szCs w:val="28"/>
        </w:rPr>
      </w:pPr>
      <w:r>
        <w:rPr>
          <w:rFonts w:ascii="PT Astra Serif" w:hAnsi="PT Astra Serif"/>
          <w:color w:val="000000"/>
          <w:szCs w:val="28"/>
        </w:rPr>
        <w:t>от 30 января 2020 года № 53</w:t>
      </w:r>
    </w:p>
    <w:p>
      <w:pPr>
        <w:autoSpaceDE w:val="0"/>
        <w:autoSpaceDN w:val="0"/>
        <w:adjustRightInd w:val="0"/>
        <w:spacing w:after="0" w:line="240" w:lineRule="auto"/>
        <w:jc w:val="center"/>
        <w:rPr>
          <w:rFonts w:ascii="PT Astra Serif" w:hAnsi="PT Astra Serif"/>
          <w:color w:val="000000"/>
          <w:szCs w:val="28"/>
        </w:rPr>
      </w:pPr>
    </w:p>
    <w:p>
      <w:pPr>
        <w:autoSpaceDE w:val="0"/>
        <w:autoSpaceDN w:val="0"/>
        <w:adjustRightInd w:val="0"/>
        <w:spacing w:after="0" w:line="240" w:lineRule="auto"/>
        <w:jc w:val="center"/>
        <w:rPr>
          <w:rFonts w:ascii="PT Astra Serif" w:hAnsi="PT Astra Serif"/>
          <w:color w:val="000000"/>
          <w:szCs w:val="28"/>
        </w:rPr>
      </w:pPr>
    </w:p>
    <w:p>
      <w:pPr>
        <w:autoSpaceDE w:val="0"/>
        <w:autoSpaceDN w:val="0"/>
        <w:adjustRightInd w:val="0"/>
        <w:spacing w:after="0" w:line="240" w:lineRule="auto"/>
        <w:jc w:val="center"/>
        <w:rPr>
          <w:rFonts w:ascii="PT Astra Serif" w:hAnsi="PT Astra Serif"/>
          <w:color w:val="000000"/>
          <w:szCs w:val="28"/>
        </w:rPr>
      </w:pPr>
    </w:p>
    <w:p>
      <w:pPr>
        <w:spacing w:after="0" w:line="240" w:lineRule="auto"/>
        <w:jc w:val="center"/>
        <w:rPr>
          <w:rFonts w:ascii="PT Astra Serif" w:hAnsi="PT Astra Serif"/>
          <w:b/>
          <w:color w:val="000000"/>
          <w:szCs w:val="28"/>
        </w:rPr>
      </w:pPr>
      <w:r>
        <w:rPr>
          <w:rFonts w:ascii="PT Astra Serif" w:hAnsi="PT Astra Serif"/>
          <w:b/>
          <w:color w:val="000000"/>
          <w:szCs w:val="28"/>
        </w:rPr>
        <w:t>ПОРЯДОК</w:t>
      </w:r>
    </w:p>
    <w:p>
      <w:pPr>
        <w:spacing w:after="0" w:line="240" w:lineRule="auto"/>
        <w:jc w:val="center"/>
        <w:rPr>
          <w:rFonts w:ascii="PT Astra Serif" w:hAnsi="PT Astra Serif"/>
          <w:b/>
          <w:color w:val="000000"/>
          <w:szCs w:val="28"/>
        </w:rPr>
      </w:pPr>
      <w:r>
        <w:rPr>
          <w:rFonts w:ascii="PT Astra Serif" w:hAnsi="PT Astra Serif"/>
          <w:b/>
          <w:color w:val="000000"/>
          <w:szCs w:val="28"/>
        </w:rPr>
        <w:t>предоставления из бюджета района субсидий</w:t>
      </w:r>
    </w:p>
    <w:p>
      <w:pPr>
        <w:spacing w:after="0" w:line="240" w:lineRule="auto"/>
        <w:jc w:val="center"/>
        <w:rPr>
          <w:rFonts w:ascii="PT Astra Serif" w:hAnsi="PT Astra Serif"/>
          <w:b/>
          <w:color w:val="000000"/>
          <w:szCs w:val="28"/>
        </w:rPr>
      </w:pPr>
      <w:r>
        <w:rPr>
          <w:rFonts w:ascii="PT Astra Serif" w:hAnsi="PT Astra Serif"/>
          <w:b/>
          <w:color w:val="000000"/>
          <w:szCs w:val="28"/>
        </w:rPr>
        <w:t>социально ориентированным некоммерческим организациям</w:t>
      </w:r>
    </w:p>
    <w:p>
      <w:pPr>
        <w:spacing w:after="0" w:line="240" w:lineRule="auto"/>
        <w:jc w:val="center"/>
        <w:rPr>
          <w:rFonts w:ascii="PT Astra Serif" w:hAnsi="PT Astra Serif"/>
          <w:b/>
          <w:color w:val="000000"/>
          <w:szCs w:val="28"/>
        </w:rPr>
      </w:pPr>
      <w:r>
        <w:rPr>
          <w:rFonts w:ascii="PT Astra Serif" w:hAnsi="PT Astra Serif"/>
          <w:b/>
          <w:color w:val="000000"/>
          <w:szCs w:val="28"/>
        </w:rPr>
        <w:t>в муниципальном образовании Тазовский район</w:t>
      </w:r>
    </w:p>
    <w:p>
      <w:pPr>
        <w:autoSpaceDE w:val="0"/>
        <w:autoSpaceDN w:val="0"/>
        <w:adjustRightInd w:val="0"/>
        <w:spacing w:after="0" w:line="240" w:lineRule="auto"/>
        <w:jc w:val="center"/>
        <w:rPr>
          <w:rFonts w:ascii="PT Astra Serif" w:hAnsi="PT Astra Serif"/>
          <w:color w:val="000000"/>
          <w:szCs w:val="28"/>
        </w:rPr>
      </w:pPr>
    </w:p>
    <w:p>
      <w:pPr>
        <w:autoSpaceDE w:val="0"/>
        <w:autoSpaceDN w:val="0"/>
        <w:adjustRightInd w:val="0"/>
        <w:spacing w:after="0" w:line="240" w:lineRule="auto"/>
        <w:jc w:val="center"/>
        <w:rPr>
          <w:rFonts w:ascii="PT Astra Serif" w:hAnsi="PT Astra Serif"/>
          <w:color w:val="000000"/>
          <w:szCs w:val="28"/>
        </w:rPr>
      </w:pPr>
    </w:p>
    <w:p>
      <w:pPr>
        <w:pStyle w:val="a3"/>
        <w:numPr>
          <w:ilvl w:val="0"/>
          <w:numId w:val="8"/>
        </w:numPr>
        <w:autoSpaceDE w:val="0"/>
        <w:autoSpaceDN w:val="0"/>
        <w:adjustRightInd w:val="0"/>
        <w:spacing w:after="0" w:line="240" w:lineRule="auto"/>
        <w:ind w:left="0" w:firstLine="0"/>
        <w:jc w:val="center"/>
        <w:outlineLvl w:val="1"/>
        <w:rPr>
          <w:rFonts w:ascii="PT Astra Serif" w:hAnsi="PT Astra Serif"/>
          <w:b/>
          <w:color w:val="000000"/>
          <w:sz w:val="28"/>
          <w:szCs w:val="28"/>
        </w:rPr>
      </w:pPr>
      <w:r>
        <w:rPr>
          <w:rFonts w:ascii="PT Astra Serif" w:hAnsi="PT Astra Serif"/>
          <w:b/>
          <w:color w:val="000000"/>
          <w:sz w:val="28"/>
          <w:szCs w:val="28"/>
        </w:rPr>
        <w:t>Общие положения о предоставлении субсидии</w:t>
      </w:r>
    </w:p>
    <w:p>
      <w:pPr>
        <w:autoSpaceDE w:val="0"/>
        <w:autoSpaceDN w:val="0"/>
        <w:adjustRightInd w:val="0"/>
        <w:spacing w:after="0" w:line="240" w:lineRule="auto"/>
        <w:jc w:val="center"/>
        <w:rPr>
          <w:rFonts w:ascii="PT Astra Serif" w:hAnsi="PT Astra Serif"/>
          <w:color w:val="000000"/>
          <w:szCs w:val="28"/>
        </w:rPr>
      </w:pPr>
    </w:p>
    <w:p>
      <w:pPr>
        <w:pStyle w:val="a3"/>
        <w:numPr>
          <w:ilvl w:val="1"/>
          <w:numId w:val="6"/>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Порядок предоставления из бюджета района субсидий социально ориентированным некоммерческим организациям в муниципальном образовании Тазовский район (далее – Порядок, субсидии) разработан                           в соответствии со статьей 78.1 Бюджетного кодекса Российской Федерации, подпунктом 1 пункта 3 статьи 31.1 Федерального закона от 12 января                          1996 года № 7-ФЗ «О некоммерческих организациях» (далее - Федеральный закон) и определяет условия, цели и порядок оказания финансовой                    поддержки социально ориентированным некоммерческим организациям                  (далее – организация) в муниципальном образовании Тазовский район,                               а также требования к отчетности и контролю за использованием субсидии.</w:t>
      </w:r>
    </w:p>
    <w:p>
      <w:pPr>
        <w:pStyle w:val="a3"/>
        <w:numPr>
          <w:ilvl w:val="1"/>
          <w:numId w:val="6"/>
        </w:numPr>
        <w:tabs>
          <w:tab w:val="left" w:pos="0"/>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Уполномоченным органом местного самоуправления муниципального образования Тазовский район,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в соответствии                          с настоящим Порядком является Администрация Тазовского района                        (далее – Администрация района).</w:t>
      </w:r>
    </w:p>
    <w:p>
      <w:pPr>
        <w:pStyle w:val="a3"/>
        <w:numPr>
          <w:ilvl w:val="1"/>
          <w:numId w:val="6"/>
        </w:numPr>
        <w:tabs>
          <w:tab w:val="left" w:pos="0"/>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Уполномоченным структурным подразделением Администрации района в области координации деятельности и межструктурного взаимодействия является информационно-аналитическое управление Администрации Тазовского района (далее информационно-аналитическое управление).</w:t>
      </w:r>
    </w:p>
    <w:p>
      <w:pPr>
        <w:pStyle w:val="a3"/>
        <w:numPr>
          <w:ilvl w:val="1"/>
          <w:numId w:val="6"/>
        </w:numPr>
        <w:tabs>
          <w:tab w:val="left" w:pos="0"/>
          <w:tab w:val="left" w:pos="709"/>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Администрация района оказывает финансовую поддержку путём предоставления субсидии следующим категориям организаций:</w:t>
      </w:r>
    </w:p>
    <w:p>
      <w:pPr>
        <w:pStyle w:val="a3"/>
        <w:numPr>
          <w:ilvl w:val="2"/>
          <w:numId w:val="6"/>
        </w:numPr>
        <w:tabs>
          <w:tab w:val="left" w:pos="1560"/>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зарегистрированным в установленном Федеральным законом порядке и осуществляющим на территории муниципального образования Тазовский район в соответствии с учредительными документами виды деятельности, установленные </w:t>
      </w:r>
      <w:hyperlink r:id="rId8" w:history="1">
        <w:r>
          <w:rPr>
            <w:rFonts w:ascii="PT Astra Serif" w:hAnsi="PT Astra Serif"/>
            <w:color w:val="000000"/>
            <w:sz w:val="28"/>
            <w:szCs w:val="28"/>
          </w:rPr>
          <w:t>статьей 31.1</w:t>
        </w:r>
      </w:hyperlink>
      <w:r>
        <w:rPr>
          <w:rFonts w:ascii="PT Astra Serif" w:hAnsi="PT Astra Serif"/>
          <w:color w:val="000000"/>
          <w:sz w:val="28"/>
          <w:szCs w:val="28"/>
        </w:rPr>
        <w:t xml:space="preserve"> Федерального закона;</w:t>
      </w:r>
    </w:p>
    <w:p>
      <w:pPr>
        <w:pStyle w:val="a3"/>
        <w:numPr>
          <w:ilvl w:val="2"/>
          <w:numId w:val="6"/>
        </w:numPr>
        <w:tabs>
          <w:tab w:val="left" w:pos="1560"/>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 xml:space="preserve">зарегистрированным за пределами муниципального образования Тазовский район в установленном Федеральным законом порядке                                     и осуществляющим установленные </w:t>
      </w:r>
      <w:hyperlink r:id="rId9" w:history="1">
        <w:r>
          <w:rPr>
            <w:rFonts w:ascii="PT Astra Serif" w:hAnsi="PT Astra Serif"/>
            <w:color w:val="000000"/>
            <w:sz w:val="28"/>
            <w:szCs w:val="28"/>
          </w:rPr>
          <w:t>статьей 31.1</w:t>
        </w:r>
      </w:hyperlink>
      <w:r>
        <w:rPr>
          <w:rFonts w:ascii="PT Astra Serif" w:hAnsi="PT Astra Serif"/>
          <w:color w:val="000000"/>
          <w:sz w:val="28"/>
          <w:szCs w:val="28"/>
        </w:rPr>
        <w:t xml:space="preserve"> Федерального закона виды деятельности, созданным для консолидации и поддержки ветеранов автономного округа, защиты их прав и законных интересов или являющимся ассоциациями (союзами) таких организаций; </w:t>
      </w:r>
    </w:p>
    <w:p>
      <w:pPr>
        <w:pStyle w:val="1"/>
        <w:numPr>
          <w:ilvl w:val="2"/>
          <w:numId w:val="6"/>
        </w:numPr>
        <w:tabs>
          <w:tab w:val="left" w:pos="1560"/>
        </w:tabs>
        <w:ind w:left="0" w:firstLine="709"/>
        <w:jc w:val="both"/>
        <w:rPr>
          <w:rFonts w:ascii="PT Astra Serif" w:hAnsi="PT Astra Serif"/>
          <w:color w:val="000000"/>
          <w:szCs w:val="28"/>
          <w:lang w:val="ru-RU"/>
        </w:rPr>
      </w:pPr>
      <w:r>
        <w:rPr>
          <w:rFonts w:ascii="PT Astra Serif" w:hAnsi="PT Astra Serif"/>
          <w:color w:val="000000"/>
          <w:szCs w:val="28"/>
          <w:lang w:val="ru-RU"/>
        </w:rPr>
        <w:t xml:space="preserve">организациям, указанным в подпунктах 1.4.1. и 1.4.2, являющимся исполнителями общественно-полезных услуг, включенным в реестр некоммерческих организаций - исполнителей общественно полезных услуг                     в соответствии с постановлением Правительства Российской Федерации                           от 26 января 2017 года № 89 «О реестре некоммерческих организаций - исполнителей общественно полезных услуг» </w:t>
      </w:r>
      <w:r>
        <w:rPr>
          <w:rFonts w:ascii="PT Astra Serif" w:hAnsi="PT Astra Serif"/>
          <w:color w:val="000000" w:themeColor="text1"/>
          <w:szCs w:val="28"/>
          <w:lang w:val="ru-RU"/>
        </w:rPr>
        <w:t>(далее – реестр).</w:t>
      </w:r>
    </w:p>
    <w:p>
      <w:pPr>
        <w:pStyle w:val="ConsPlusNormal"/>
        <w:numPr>
          <w:ilvl w:val="1"/>
          <w:numId w:val="6"/>
        </w:numPr>
        <w:tabs>
          <w:tab w:val="left" w:pos="1276"/>
        </w:tabs>
        <w:ind w:left="0" w:firstLine="709"/>
        <w:jc w:val="both"/>
        <w:rPr>
          <w:rFonts w:ascii="PT Astra Serif" w:hAnsi="PT Astra Serif" w:cs="Times New Roman"/>
          <w:color w:val="000000"/>
          <w:szCs w:val="28"/>
        </w:rPr>
      </w:pPr>
      <w:r>
        <w:rPr>
          <w:rFonts w:ascii="PT Astra Serif" w:hAnsi="PT Astra Serif" w:cs="Times New Roman"/>
          <w:color w:val="000000"/>
          <w:szCs w:val="28"/>
        </w:rPr>
        <w:t>Субсидии предоставляются организациям на осуществление видов деятельности, установленных учредительными документами организации, статьей 31.1 Федерального закона, Федеральным законом от 06 мая 2011 года № 100-ФЗ «О добровольной пожарной охране», Федеральным законом                             от 05 декабря 2005 года № 154-ФЗ «О государственной службе российского казачества», иными федеральными законами, законами Ямало-Ненецкого автономного округа, (далее автономный округ) регламентирующими деятельность организаций, за счет и в пределах бюджетных ассигнований, предусмотренных решением Районной Думы муниципального образования Тазовский район о бюджете муниципального образования Тазовский район (далее - бюджет района) на реализацию мероприятий в рамках подпрограммы 5 «Содействие развитию институтов гражданского общества в Тазовском районе» муниципальной программы «Совершенствование муниципального управления на 2015-2025 годы», утвержденной постановлением Администрации Тазовского района от 11 августа 2014 года № 405.</w:t>
      </w:r>
    </w:p>
    <w:p>
      <w:pPr>
        <w:pStyle w:val="ConsPlusNormal"/>
        <w:numPr>
          <w:ilvl w:val="1"/>
          <w:numId w:val="6"/>
        </w:numPr>
        <w:tabs>
          <w:tab w:val="left" w:pos="1276"/>
        </w:tabs>
        <w:ind w:left="0" w:firstLine="709"/>
        <w:jc w:val="both"/>
        <w:rPr>
          <w:rFonts w:ascii="PT Astra Serif" w:hAnsi="PT Astra Serif" w:cs="Times New Roman"/>
          <w:color w:val="000000"/>
          <w:szCs w:val="28"/>
        </w:rPr>
      </w:pPr>
      <w:r>
        <w:rPr>
          <w:rFonts w:ascii="PT Astra Serif" w:hAnsi="PT Astra Serif" w:cs="Times New Roman"/>
          <w:color w:val="000000"/>
          <w:szCs w:val="28"/>
        </w:rPr>
        <w:t>Цели предоставления субсидий:</w:t>
      </w:r>
    </w:p>
    <w:p>
      <w:pPr>
        <w:pStyle w:val="a3"/>
        <w:numPr>
          <w:ilvl w:val="0"/>
          <w:numId w:val="9"/>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возмещение затрат, связанных с осуществлением уставной деятельности, направленной на решение социальных проблем граждан муниципального образования;</w:t>
      </w:r>
    </w:p>
    <w:p>
      <w:pPr>
        <w:pStyle w:val="a3"/>
        <w:numPr>
          <w:ilvl w:val="0"/>
          <w:numId w:val="9"/>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финансовое обеспечение расходов на укрепление материально-технической базы организации;</w:t>
      </w:r>
    </w:p>
    <w:p>
      <w:pPr>
        <w:pStyle w:val="a3"/>
        <w:numPr>
          <w:ilvl w:val="0"/>
          <w:numId w:val="9"/>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 реализацию мероприятий, проводимых организацией в целях осуществления социально значимой деятельности и возмещения затрат                        на подготовку, дополнительное профессиональное образование работников                    и добровольцев (волонтеров) социально ориентированных некоммерческих организаций, действующих на территории Тазовского района, в том числе                      на участие в семинарах, конференциях, форумах и других мероприятиях, проводимых за пределами Тазовского района, по актуальным проблемам деятельности социально ориентированных некоммерческих организаций;</w:t>
      </w:r>
    </w:p>
    <w:p>
      <w:pPr>
        <w:pStyle w:val="a3"/>
        <w:numPr>
          <w:ilvl w:val="0"/>
          <w:numId w:val="9"/>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создание общественных благ некоммерческими организациями;</w:t>
      </w:r>
    </w:p>
    <w:p>
      <w:pPr>
        <w:pStyle w:val="a3"/>
        <w:numPr>
          <w:ilvl w:val="0"/>
          <w:numId w:val="9"/>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развитие инфраструктуры части некоммерческого сектора, ориентированной на социально полезную деятельность.</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lastRenderedPageBreak/>
        <w:t xml:space="preserve">Запрещено приобретение организацией иностранной валюты за счет </w:t>
      </w:r>
      <w:r>
        <w:rPr>
          <w:rFonts w:ascii="PT Astra Serif" w:hAnsi="PT Astra Serif"/>
          <w:color w:val="000000" w:themeColor="text1"/>
          <w:szCs w:val="28"/>
        </w:rPr>
        <w:t>полученных средств субсидий</w:t>
      </w:r>
      <w:r>
        <w:rPr>
          <w:rFonts w:ascii="PT Astra Serif" w:hAnsi="PT Astra Serif"/>
          <w:color w:val="000000"/>
          <w:szCs w:val="28"/>
        </w:rPr>
        <w:t xml:space="preserve">, за исключением операций, предусмотренных </w:t>
      </w:r>
      <w:hyperlink r:id="rId10" w:history="1">
        <w:r>
          <w:rPr>
            <w:rFonts w:ascii="PT Astra Serif" w:hAnsi="PT Astra Serif"/>
            <w:color w:val="000000"/>
            <w:szCs w:val="28"/>
          </w:rPr>
          <w:t>пунктом 3 статьи 78.1</w:t>
        </w:r>
      </w:hyperlink>
      <w:r>
        <w:rPr>
          <w:rFonts w:ascii="PT Astra Serif" w:hAnsi="PT Astra Serif"/>
          <w:color w:val="000000"/>
          <w:szCs w:val="28"/>
        </w:rPr>
        <w:t xml:space="preserve"> Бюджетного кодекса Российской Федерации.</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Источником финансового обеспечения расходов, связанных                                  с предоставлением субсидий из бюджета района организациям, являются собственные средства бюджета района, безвозмездные поступления (добровольные пожертвования) от физических и юридических лиц, иные межбюджетные трансферты, имеющие целевое назначение, предоставляемые                   в бюджет района по соглашению о предоставлении межбюджетной субсидии или соглашению о сотрудничестве (договору пожертвования).</w:t>
      </w:r>
    </w:p>
    <w:p>
      <w:pPr>
        <w:pStyle w:val="a3"/>
        <w:numPr>
          <w:ilvl w:val="1"/>
          <w:numId w:val="6"/>
        </w:numPr>
        <w:tabs>
          <w:tab w:val="left" w:pos="1276"/>
        </w:tabs>
        <w:autoSpaceDE w:val="0"/>
        <w:autoSpaceDN w:val="0"/>
        <w:adjustRightInd w:val="0"/>
        <w:spacing w:after="0" w:line="240" w:lineRule="auto"/>
        <w:ind w:left="0" w:firstLine="709"/>
        <w:jc w:val="both"/>
        <w:rPr>
          <w:rFonts w:ascii="PT Astra Serif" w:hAnsi="PT Astra Serif"/>
          <w:color w:val="000000" w:themeColor="text1"/>
          <w:sz w:val="28"/>
          <w:szCs w:val="28"/>
        </w:rPr>
      </w:pPr>
      <w:r>
        <w:rPr>
          <w:rFonts w:ascii="PT Astra Serif" w:hAnsi="PT Astra Serif"/>
          <w:color w:val="000000"/>
          <w:sz w:val="28"/>
          <w:szCs w:val="28"/>
        </w:rPr>
        <w:t xml:space="preserve">Критериями отбора получателей субсидий, имеющих право                               на получение субсидий, являются соответствие организации категориям, указанным в пункте 1.4, </w:t>
      </w:r>
      <w:r>
        <w:rPr>
          <w:rFonts w:ascii="PT Astra Serif" w:hAnsi="PT Astra Serif"/>
          <w:color w:val="000000" w:themeColor="text1"/>
          <w:sz w:val="28"/>
          <w:szCs w:val="28"/>
        </w:rPr>
        <w:t>а также соответствие целей использования субсидий, указанным в пункте 1.6.</w:t>
      </w:r>
    </w:p>
    <w:p>
      <w:pPr>
        <w:pStyle w:val="a3"/>
        <w:numPr>
          <w:ilvl w:val="1"/>
          <w:numId w:val="6"/>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Финансовая поддержка путем предоставления субсидий организациям, являющимся исполнителями общественно-полезных услуг, предоставляется на срок не менее двух лет.</w:t>
      </w:r>
    </w:p>
    <w:p>
      <w:pPr>
        <w:autoSpaceDE w:val="0"/>
        <w:autoSpaceDN w:val="0"/>
        <w:adjustRightInd w:val="0"/>
        <w:spacing w:after="0" w:line="240" w:lineRule="auto"/>
        <w:jc w:val="center"/>
        <w:rPr>
          <w:rFonts w:ascii="PT Astra Serif" w:hAnsi="PT Astra Serif"/>
          <w:color w:val="000000"/>
          <w:szCs w:val="28"/>
        </w:rPr>
      </w:pPr>
    </w:p>
    <w:p>
      <w:pPr>
        <w:pStyle w:val="a3"/>
        <w:numPr>
          <w:ilvl w:val="0"/>
          <w:numId w:val="8"/>
        </w:numPr>
        <w:autoSpaceDE w:val="0"/>
        <w:autoSpaceDN w:val="0"/>
        <w:adjustRightInd w:val="0"/>
        <w:spacing w:after="0" w:line="240" w:lineRule="auto"/>
        <w:ind w:left="0" w:firstLine="0"/>
        <w:jc w:val="center"/>
        <w:outlineLvl w:val="1"/>
        <w:rPr>
          <w:rFonts w:ascii="PT Astra Serif" w:hAnsi="PT Astra Serif"/>
          <w:b/>
          <w:color w:val="000000"/>
          <w:sz w:val="28"/>
          <w:szCs w:val="28"/>
        </w:rPr>
      </w:pPr>
      <w:r>
        <w:rPr>
          <w:rFonts w:ascii="PT Astra Serif" w:hAnsi="PT Astra Serif"/>
          <w:b/>
          <w:color w:val="000000"/>
          <w:sz w:val="28"/>
          <w:szCs w:val="28"/>
        </w:rPr>
        <w:t>Условия и порядок предоставления субсидии</w:t>
      </w:r>
    </w:p>
    <w:p>
      <w:pPr>
        <w:autoSpaceDE w:val="0"/>
        <w:autoSpaceDN w:val="0"/>
        <w:adjustRightInd w:val="0"/>
        <w:spacing w:after="0" w:line="240" w:lineRule="auto"/>
        <w:jc w:val="center"/>
        <w:rPr>
          <w:rFonts w:ascii="PT Astra Serif" w:hAnsi="PT Astra Serif"/>
          <w:color w:val="000000"/>
          <w:szCs w:val="28"/>
        </w:rPr>
      </w:pP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bCs/>
          <w:color w:val="000000"/>
          <w:sz w:val="28"/>
          <w:szCs w:val="28"/>
        </w:rPr>
      </w:pPr>
      <w:r>
        <w:rPr>
          <w:rFonts w:ascii="PT Astra Serif" w:hAnsi="PT Astra Serif"/>
          <w:color w:val="000000"/>
          <w:sz w:val="28"/>
          <w:szCs w:val="28"/>
        </w:rPr>
        <w:t>Оказание финансовой поддержки осуществляется на основании письменного обращения социально ориентированной некоммерческой организации (далее – обращение, организация) на имя Главы Тазовского района (далее – Глава района) по форме согласно приложению № 1 к настоящему Порядку и предоставляется в виде субсидии в соответствии с подписанным соглашением на обеспечение текущей деятельности организации.</w:t>
      </w:r>
    </w:p>
    <w:p>
      <w:pPr>
        <w:pStyle w:val="a3"/>
        <w:numPr>
          <w:ilvl w:val="1"/>
          <w:numId w:val="8"/>
        </w:numPr>
        <w:tabs>
          <w:tab w:val="left" w:pos="1276"/>
        </w:tabs>
        <w:spacing w:after="0" w:line="240" w:lineRule="auto"/>
        <w:ind w:left="0" w:firstLine="709"/>
        <w:jc w:val="both"/>
        <w:rPr>
          <w:rFonts w:ascii="PT Astra Serif" w:hAnsi="PT Astra Serif"/>
          <w:bCs/>
          <w:color w:val="000000"/>
          <w:sz w:val="28"/>
          <w:szCs w:val="28"/>
        </w:rPr>
      </w:pPr>
      <w:r>
        <w:rPr>
          <w:rFonts w:ascii="PT Astra Serif" w:hAnsi="PT Astra Serif"/>
          <w:color w:val="000000"/>
          <w:sz w:val="28"/>
          <w:szCs w:val="28"/>
        </w:rPr>
        <w:t>Неиспользованный организацией остаток субсидии подлежит возврату в бюджет района. Возврат неиспользованного остатка субсидии осуществляется в сроки, предусмотренные соглашением. Погашение за счет бюджетных ассигнований текущего финансового года кредиторской задолженности организации перед поставщиками работ (услуг), сложившейся за отчетный финансовый год, не допускается</w:t>
      </w:r>
      <w:r>
        <w:rPr>
          <w:rFonts w:ascii="PT Astra Serif" w:hAnsi="PT Astra Serif"/>
          <w:bCs/>
          <w:color w:val="000000"/>
          <w:sz w:val="28"/>
          <w:szCs w:val="28"/>
        </w:rPr>
        <w:t>.</w:t>
      </w:r>
    </w:p>
    <w:p>
      <w:pPr>
        <w:pStyle w:val="a3"/>
        <w:numPr>
          <w:ilvl w:val="1"/>
          <w:numId w:val="8"/>
        </w:numPr>
        <w:shd w:val="clear" w:color="auto" w:fill="FFFFFF"/>
        <w:tabs>
          <w:tab w:val="left" w:pos="1276"/>
          <w:tab w:val="left" w:pos="3021"/>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Обращение должно содержать следующую информацию                                   и документы:</w:t>
      </w:r>
    </w:p>
    <w:p>
      <w:pPr>
        <w:pStyle w:val="a3"/>
        <w:numPr>
          <w:ilvl w:val="0"/>
          <w:numId w:val="1"/>
        </w:numPr>
        <w:tabs>
          <w:tab w:val="left" w:pos="1134"/>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обоснование необходимости оказания финансовой поддержки,                          а также планируемый результат в случае ее оказания и перспективы продолжения деятельности, подлежащей осуществлению с использованием субсидии, после окончания финансирования;</w:t>
      </w:r>
    </w:p>
    <w:p>
      <w:pPr>
        <w:pStyle w:val="a3"/>
        <w:numPr>
          <w:ilvl w:val="0"/>
          <w:numId w:val="1"/>
        </w:numPr>
        <w:tabs>
          <w:tab w:val="left" w:pos="1134"/>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сведения о целях, задачах, содержании запланированных мероприятий, соответствующих видам деятельности, указанных в обращении;</w:t>
      </w:r>
    </w:p>
    <w:p>
      <w:pPr>
        <w:pStyle w:val="a3"/>
        <w:numPr>
          <w:ilvl w:val="0"/>
          <w:numId w:val="1"/>
        </w:numPr>
        <w:tabs>
          <w:tab w:val="left" w:pos="1134"/>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обоснование приоритетности реализации мероприятий, подлежащих реализации с использованием субсидии;</w:t>
      </w:r>
    </w:p>
    <w:p>
      <w:pPr>
        <w:pStyle w:val="a3"/>
        <w:numPr>
          <w:ilvl w:val="0"/>
          <w:numId w:val="1"/>
        </w:numPr>
        <w:tabs>
          <w:tab w:val="left" w:pos="1134"/>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информацию об опыте осуществления деятельности социально ориентированной некоммерческой организации, на осуществление которой планируется предоставление субсидии; </w:t>
      </w:r>
    </w:p>
    <w:p>
      <w:pPr>
        <w:pStyle w:val="a3"/>
        <w:numPr>
          <w:ilvl w:val="0"/>
          <w:numId w:val="1"/>
        </w:numPr>
        <w:tabs>
          <w:tab w:val="left" w:pos="1134"/>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информацию о материально-технической базе, кадровых ресурсах организации.</w:t>
      </w:r>
    </w:p>
    <w:p>
      <w:pPr>
        <w:pStyle w:val="a3"/>
        <w:numPr>
          <w:ilvl w:val="0"/>
          <w:numId w:val="1"/>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заверенные подписью руководителя и скрепленные печатью                           (при наличии) организации копии учредительных документов организации;</w:t>
      </w:r>
    </w:p>
    <w:p>
      <w:pPr>
        <w:pStyle w:val="a3"/>
        <w:numPr>
          <w:ilvl w:val="0"/>
          <w:numId w:val="1"/>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примерную смету расходов по использованию субсидии по форме согласно приложению № 2 к  настоящему Порядку с приложением документов и (или) информации, подтверждающих обоснованность планируемых расходов (в том числе могут быть представлены копия коммерческих предложений, анализ ценовых предложений и др.) и (или) произведенных расходов                                (в том числе могут быть представлены заверенные копии первичных финансовых документов с необходимыми приложениями: договоры, акты приема-передачи, кассовые и товарные чеки, счета, счета-фактуры, товарные накладные, платежные поручения, квитанции приходных ордеров, расходные ордеры, ведомости, документы строгой отчетности и др.);</w:t>
      </w:r>
    </w:p>
    <w:p>
      <w:pPr>
        <w:pStyle w:val="a3"/>
        <w:numPr>
          <w:ilvl w:val="0"/>
          <w:numId w:val="1"/>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график финансирования по смете расходов;</w:t>
      </w:r>
    </w:p>
    <w:p>
      <w:pPr>
        <w:pStyle w:val="a3"/>
        <w:numPr>
          <w:ilvl w:val="0"/>
          <w:numId w:val="1"/>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справку банка о наличии счета, на который в соответствии                                с бюджетным законодательством Российской Федерации подлежит перечислению субсидия;</w:t>
      </w:r>
    </w:p>
    <w:p>
      <w:pPr>
        <w:pStyle w:val="a3"/>
        <w:numPr>
          <w:ilvl w:val="0"/>
          <w:numId w:val="1"/>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справку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предоставленные налоговым органом                           (далее - справки);</w:t>
      </w:r>
    </w:p>
    <w:p>
      <w:pPr>
        <w:pStyle w:val="a3"/>
        <w:numPr>
          <w:ilvl w:val="0"/>
          <w:numId w:val="1"/>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бухгалтерский баланс организации по состоянию на последнюю отчетную дату, предшествующую дате подачи обращения в Администрацию района, либо, если организация не представляет в налоговые органы бухгалтерский баланс, иную предусмотренную законодательством Российской Федерации о налогах и сборах документацию;</w:t>
      </w:r>
    </w:p>
    <w:p>
      <w:pPr>
        <w:pStyle w:val="a3"/>
        <w:numPr>
          <w:ilvl w:val="0"/>
          <w:numId w:val="1"/>
        </w:numPr>
        <w:tabs>
          <w:tab w:val="left" w:pos="1276"/>
        </w:tabs>
        <w:autoSpaceDE w:val="0"/>
        <w:autoSpaceDN w:val="0"/>
        <w:adjustRightInd w:val="0"/>
        <w:spacing w:after="0" w:line="240" w:lineRule="auto"/>
        <w:ind w:left="0" w:firstLine="709"/>
        <w:jc w:val="both"/>
        <w:rPr>
          <w:rFonts w:ascii="PT Astra Serif" w:hAnsi="PT Astra Serif"/>
          <w:bCs/>
          <w:color w:val="000000"/>
          <w:sz w:val="28"/>
          <w:szCs w:val="28"/>
        </w:rPr>
      </w:pPr>
      <w:r>
        <w:rPr>
          <w:rFonts w:ascii="PT Astra Serif" w:hAnsi="PT Astra Serif"/>
          <w:bCs/>
          <w:color w:val="000000"/>
          <w:sz w:val="28"/>
          <w:szCs w:val="28"/>
        </w:rPr>
        <w:t>полную выписку из Единого государственного реестра юридических лиц со сведениями о социально ориентированной некоммерческой организации, датированную не ранее чем за шесть месяцев до момента подачи обращения.</w:t>
      </w:r>
    </w:p>
    <w:p>
      <w:pPr>
        <w:pStyle w:val="a3"/>
        <w:numPr>
          <w:ilvl w:val="1"/>
          <w:numId w:val="8"/>
        </w:numPr>
        <w:tabs>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Обращение организации подлежит рассмотрению Администрацией района не позднее 30 рабочих дней со дня поступления обращения                                 с документами, предусмотренными пунктом 2.3 настоящего Порядка,                              в Комиссию по финансовой поддержке социально-ориентированных некоммерческих организаций в муниципальном образовании Тазовский район -  (далее – Комиссия). Состав Комиссии утверждается правовым актом Администрации района. </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 xml:space="preserve">Комиссия состоит из председателя комиссии, заместителя председателя Комиссии, секретаря Комиссии и членов Комиссии. Состав Комиссии </w:t>
      </w:r>
      <w:r>
        <w:rPr>
          <w:rFonts w:ascii="PT Astra Serif" w:hAnsi="PT Astra Serif"/>
          <w:color w:val="000000"/>
          <w:szCs w:val="28"/>
        </w:rPr>
        <w:lastRenderedPageBreak/>
        <w:t>формируется из специалистов Администрации района, в том числе специалистов информационно-аналитического управления, Департамента финансов Администрации Тазовского района (далее – Департамент финансов), управления социально-экономического развития Администрации Тазовского района, Общественной палаты муниципального образования Тазовский район (по согласованию), представителей социально ориентированных некоммерческих организаций (по согласованию). В состав комиссии                             по согласованию могут также входить представители иных органов местного самоуправления муниципального образования, коммерческих организаций, осуществляющих благотворительную деятельность.</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 состав Комиссии не могут входить представители организаций (учредители, руководители, работники), которые претендуют на получение субсидии в целях исключения конфликта интересов, а также иные лица, имеющие заинтересованность в предоставлении финансовой поддержки конкретным организациям, например, если в этих организациях работают                            их родственники или свойственники.</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Число членов Комиссии должно быть нечетным и составлять                               не менее 9 человек. Руководит деятельностью Комиссии председатель Комиссии, а в его отсутствие - заместитель председателя Комиссии.</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Председатель комиссии организует работу Комиссии, проводит заседание Комиссии. Секретарь Комиссии извещает членов Комиссии о времени и месте проведения заседаний Комиссии, ведет протокол заседания Комиссии. Заседание Комиссии является правомочным, если на нем присутствует не менее 2/3 от общего числа членов Комиссии.</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Все члены Комиссии при принятии решений обладают равными правами. Решение Комиссии принимается простым большинством голосов присутствующих на заседании членов Комиссии путем открытого голосования. При равенстве голосов членов Комиссии голос председателя Комиссии является решающим. Решение Комиссии оформляется протоколом заседания Комиссии, который подписывается председателем Комиссии, а в его отсутствие - заместителем председателя Комиссии, секретарем Комиссии.</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 xml:space="preserve">Комиссия принимает решение о признании оказания финансовой поддержки целесообразной (не целесообразной), в том числе размере субсидий, в соответствии с подпунктами 2.4.1, 2.4.2 настоящего Порядка. </w:t>
      </w:r>
    </w:p>
    <w:p>
      <w:pPr>
        <w:pStyle w:val="a3"/>
        <w:numPr>
          <w:ilvl w:val="2"/>
          <w:numId w:val="8"/>
        </w:numPr>
        <w:tabs>
          <w:tab w:val="left" w:pos="1560"/>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Основаниями для отказа в оказании финансовой поддержки являются:</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bookmarkStart w:id="1" w:name="Par1"/>
      <w:bookmarkEnd w:id="1"/>
      <w:r>
        <w:rPr>
          <w:rFonts w:ascii="PT Astra Serif" w:hAnsi="PT Astra Serif"/>
          <w:color w:val="000000"/>
          <w:sz w:val="28"/>
          <w:szCs w:val="28"/>
        </w:rPr>
        <w:t xml:space="preserve">несоответствие представленных обращения и (или) документов требованиям, установленным </w:t>
      </w:r>
      <w:hyperlink r:id="rId11" w:history="1">
        <w:r>
          <w:rPr>
            <w:rFonts w:ascii="PT Astra Serif" w:hAnsi="PT Astra Serif"/>
            <w:color w:val="000000"/>
            <w:sz w:val="28"/>
            <w:szCs w:val="28"/>
          </w:rPr>
          <w:t>пунктом 2.3</w:t>
        </w:r>
      </w:hyperlink>
      <w:r>
        <w:rPr>
          <w:rFonts w:ascii="PT Astra Serif" w:hAnsi="PT Astra Serif"/>
          <w:color w:val="000000"/>
          <w:sz w:val="28"/>
          <w:szCs w:val="28"/>
        </w:rPr>
        <w:t xml:space="preserve"> настоящего Порядка                                    или непредставление указанных документов;</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представление неполного пакета документов в соответствии                              с </w:t>
      </w:r>
      <w:hyperlink r:id="rId12" w:history="1">
        <w:r>
          <w:rPr>
            <w:rFonts w:ascii="PT Astra Serif" w:hAnsi="PT Astra Serif"/>
            <w:color w:val="000000"/>
            <w:sz w:val="28"/>
            <w:szCs w:val="28"/>
          </w:rPr>
          <w:t>пунктом 2.3</w:t>
        </w:r>
      </w:hyperlink>
      <w:r>
        <w:rPr>
          <w:rFonts w:ascii="PT Astra Serif" w:hAnsi="PT Astra Serif"/>
          <w:color w:val="000000"/>
          <w:sz w:val="28"/>
          <w:szCs w:val="28"/>
        </w:rPr>
        <w:t xml:space="preserve"> настоящего Порядка;</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недостоверность представленной организацией информации, содержащейся в документах;</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 xml:space="preserve">несоответствие организации категории социально ориентированной некоммерческой организации, определяемой в соответствии с </w:t>
      </w:r>
      <w:hyperlink r:id="rId13" w:history="1">
        <w:r>
          <w:rPr>
            <w:rFonts w:ascii="PT Astra Serif" w:hAnsi="PT Astra Serif"/>
            <w:color w:val="000000"/>
            <w:sz w:val="28"/>
            <w:szCs w:val="28"/>
          </w:rPr>
          <w:t>пунктом 2.1 статьи 2</w:t>
        </w:r>
      </w:hyperlink>
      <w:r>
        <w:rPr>
          <w:rFonts w:ascii="PT Astra Serif" w:hAnsi="PT Astra Serif"/>
          <w:color w:val="000000"/>
          <w:sz w:val="28"/>
          <w:szCs w:val="28"/>
        </w:rPr>
        <w:t xml:space="preserve"> Федерального закона;</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несоответствие деятельности, подлежащей осуществлению                              с использованием запрашиваемой субсидии, видам деятельности, установленным </w:t>
      </w:r>
      <w:hyperlink r:id="rId14" w:history="1">
        <w:r>
          <w:rPr>
            <w:rFonts w:ascii="PT Astra Serif" w:hAnsi="PT Astra Serif"/>
            <w:color w:val="000000"/>
            <w:sz w:val="28"/>
            <w:szCs w:val="28"/>
          </w:rPr>
          <w:t>статьей 31.1</w:t>
        </w:r>
      </w:hyperlink>
      <w:r>
        <w:rPr>
          <w:rFonts w:ascii="PT Astra Serif" w:hAnsi="PT Astra Serif"/>
          <w:color w:val="000000"/>
          <w:sz w:val="28"/>
          <w:szCs w:val="28"/>
        </w:rPr>
        <w:t xml:space="preserve"> Федерального закона;</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признание оказания финансовой поддержки нецелесообразной,                         по основаниям, указанным в подпункте 2.4.2 Порядка;</w:t>
      </w:r>
    </w:p>
    <w:p>
      <w:pPr>
        <w:pStyle w:val="a3"/>
        <w:numPr>
          <w:ilvl w:val="0"/>
          <w:numId w:val="10"/>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для организаций, получивших субсидию ранее, отсутствие отчета                    по субсидии, полученной ранее.</w:t>
      </w:r>
    </w:p>
    <w:p>
      <w:pPr>
        <w:tabs>
          <w:tab w:val="left" w:pos="1134"/>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При наличии одного или нескольких оснований для отказа в оказании финансовой поддержки, указанных в подпунктах 1-7 подпункта 2.4.1,                              в том числе по причине отсутствия лимитов бюджетных обязательств                             на оказание финансовой поддержки, информационно-аналитическое управление в течение 20 рабочих дней со дня принятия решения об отказе                       в предоставлении субсидии направляет в  адрес обратившейся  организации письменный отказ в оказании финансовой поддержки с указанием причин отказа.</w:t>
      </w:r>
    </w:p>
    <w:p>
      <w:pPr>
        <w:pStyle w:val="a3"/>
        <w:numPr>
          <w:ilvl w:val="2"/>
          <w:numId w:val="8"/>
        </w:numPr>
        <w:tabs>
          <w:tab w:val="left" w:pos="1560"/>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Основания для признания оказания финансовой поддержки целесообразной:</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соответствие целей, задач и содержания запланированных мероприятий, подлежащих реализации с использованием субсидии, ожидаемому результату;</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наличие перспективы продолжения деятельности, подлежащей осуществлению с использованием субсидии, после окончания финансирования;</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наличие у социально ориентированной некоммерческой организации опыта осуществления деятельности, подлежащей осуществлению                                      с использованием субсидии;</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наличие материально-технической базы, кадровых  ресурсов социально ориентированной некоммерческой организации для деятельности, подлежащей осуществлению с использованием субсидии;</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обоснованность размера запрашиваемой субсидии, указанного в смете расходов по использованию запрашиваемой субсидии;</w:t>
      </w:r>
    </w:p>
    <w:p>
      <w:pPr>
        <w:pStyle w:val="a3"/>
        <w:numPr>
          <w:ilvl w:val="0"/>
          <w:numId w:val="3"/>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приоритетность реализации мероприятий, подлежащих реализации                       с использованием субсидии, с учетом важнейших направлений                                        по обеспечению социально-экономического развития муниципального образования Тазовский район и решению проблем развития социальной сферы района.</w:t>
      </w:r>
    </w:p>
    <w:p>
      <w:pPr>
        <w:tabs>
          <w:tab w:val="left" w:pos="1134"/>
        </w:tabs>
        <w:autoSpaceDE w:val="0"/>
        <w:autoSpaceDN w:val="0"/>
        <w:adjustRightInd w:val="0"/>
        <w:spacing w:after="0" w:line="240" w:lineRule="auto"/>
        <w:ind w:firstLine="709"/>
        <w:jc w:val="both"/>
        <w:rPr>
          <w:rFonts w:ascii="PT Astra Serif" w:hAnsi="PT Astra Serif"/>
          <w:color w:val="000000"/>
          <w:szCs w:val="28"/>
        </w:rPr>
      </w:pPr>
      <w:bookmarkStart w:id="2" w:name="Par0"/>
      <w:bookmarkEnd w:id="2"/>
      <w:r>
        <w:rPr>
          <w:rFonts w:ascii="PT Astra Serif" w:hAnsi="PT Astra Serif"/>
          <w:color w:val="000000"/>
          <w:szCs w:val="28"/>
        </w:rPr>
        <w:t xml:space="preserve">В случае соответствия  представленных организацией и рассмотренных обращения и документов вышеуказанным требованиям и признания оказания финансовой поддержки  целесообразной информационно-аналитическое управление не позднее 10 рабочих дней со дня принятия решения об оказании финансовой поддержки социально ориентированной некоммерческой организации в виде субсидии выносит на рассмотрение Главе района проект </w:t>
      </w:r>
      <w:r>
        <w:rPr>
          <w:rFonts w:ascii="PT Astra Serif" w:hAnsi="PT Astra Serif"/>
          <w:color w:val="000000"/>
          <w:szCs w:val="28"/>
        </w:rPr>
        <w:lastRenderedPageBreak/>
        <w:t xml:space="preserve">распоряжения Администрации района об оказании финансовой поддержки организации (с учетом требований, установленных статьей 19 Федерального </w:t>
      </w:r>
      <w:hyperlink r:id="rId15" w:history="1">
        <w:r>
          <w:rPr>
            <w:rFonts w:ascii="PT Astra Serif" w:hAnsi="PT Astra Serif"/>
            <w:color w:val="000000"/>
            <w:szCs w:val="28"/>
          </w:rPr>
          <w:t>закона</w:t>
        </w:r>
      </w:hyperlink>
      <w:r>
        <w:rPr>
          <w:rFonts w:ascii="PT Astra Serif" w:hAnsi="PT Astra Serif"/>
          <w:color w:val="000000"/>
          <w:szCs w:val="28"/>
        </w:rPr>
        <w:t xml:space="preserve"> от 26 июля 2006 года № 135-ФЗ «О защите конкуренции»). </w:t>
      </w:r>
    </w:p>
    <w:p>
      <w:pPr>
        <w:tabs>
          <w:tab w:val="left" w:pos="1134"/>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 xml:space="preserve">На основании распоряжения Администрации района об оказании финансовой поддержки организации информационно-аналитическим управлением организация вносится в Реестр социально-ориентированных некоммерческих организаций-получателей поддержки из бюджета </w:t>
      </w:r>
      <w:r>
        <w:rPr>
          <w:rFonts w:ascii="PT Astra Serif" w:hAnsi="PT Astra Serif"/>
          <w:szCs w:val="28"/>
        </w:rPr>
        <w:t>муниципального</w:t>
      </w:r>
      <w:r>
        <w:rPr>
          <w:rFonts w:ascii="PT Astra Serif" w:hAnsi="PT Astra Serif"/>
          <w:color w:val="000000"/>
          <w:szCs w:val="28"/>
        </w:rPr>
        <w:t xml:space="preserve"> образования Тазовский район (далее – Реестр). </w:t>
      </w:r>
    </w:p>
    <w:p>
      <w:pPr>
        <w:pStyle w:val="a3"/>
        <w:numPr>
          <w:ilvl w:val="1"/>
          <w:numId w:val="8"/>
        </w:numPr>
        <w:tabs>
          <w:tab w:val="left" w:pos="1276"/>
        </w:tabs>
        <w:spacing w:after="0" w:line="240" w:lineRule="auto"/>
        <w:ind w:left="0" w:firstLine="709"/>
        <w:jc w:val="both"/>
        <w:rPr>
          <w:rFonts w:ascii="PT Astra Serif" w:hAnsi="PT Astra Serif"/>
          <w:color w:val="000000"/>
          <w:sz w:val="28"/>
          <w:szCs w:val="28"/>
        </w:rPr>
      </w:pPr>
      <w:r>
        <w:rPr>
          <w:rFonts w:ascii="PT Astra Serif" w:hAnsi="PT Astra Serif"/>
          <w:sz w:val="28"/>
          <w:szCs w:val="28"/>
        </w:rPr>
        <w:t xml:space="preserve">На основании уведомления Департамента финансов о выделении бюджетных ассигнований и лимитах бюджетных обязательств из бюджета района для оказания финансовой поддержки обратившейся организации, включенной в Реестр, Администрация района заключает с соответствующей организацией соглашение о предоставлении субсидии согласно типовой форме, утвержденной приказом Департамента финансов Администрации Тазовского района от 21 декабря 2018 года № 175 «Об утверждении Типовой формы соглашения (договора) о предоставлении из бюджета муниципального образования Тазовский район субсидий некоммерческой организации,                                 не являющейся государственным (муниципальным) учреждением» (далее – соглашение). Ответственное структурное подразделение Администрации района за заключение и проведение процедуры согласования соглашения – </w:t>
      </w:r>
      <w:r>
        <w:rPr>
          <w:rFonts w:ascii="PT Astra Serif" w:hAnsi="PT Astra Serif"/>
          <w:color w:val="000000"/>
          <w:sz w:val="28"/>
          <w:szCs w:val="28"/>
        </w:rPr>
        <w:t>информационно-аналитическое управление.</w:t>
      </w:r>
    </w:p>
    <w:p>
      <w:pPr>
        <w:tabs>
          <w:tab w:val="left" w:pos="1276"/>
        </w:tabs>
        <w:spacing w:after="0" w:line="240" w:lineRule="auto"/>
        <w:ind w:firstLine="709"/>
        <w:jc w:val="both"/>
        <w:rPr>
          <w:rFonts w:ascii="PT Astra Serif" w:hAnsi="PT Astra Serif"/>
          <w:color w:val="000000"/>
          <w:szCs w:val="28"/>
        </w:rPr>
      </w:pPr>
      <w:r>
        <w:rPr>
          <w:rFonts w:ascii="PT Astra Serif" w:hAnsi="PT Astra Serif"/>
          <w:color w:val="000000"/>
          <w:szCs w:val="28"/>
        </w:rPr>
        <w:t>Обязательным условием соглашения является согласие некоммерческой организации на осуществление совместно с уполномоченным органом                               и органами муниципального финансового контроля проверок соблюдения получателем субсидии условий, целей и порядка ее предоставления.</w:t>
      </w:r>
    </w:p>
    <w:p>
      <w:pPr>
        <w:pStyle w:val="a3"/>
        <w:numPr>
          <w:ilvl w:val="1"/>
          <w:numId w:val="8"/>
        </w:numPr>
        <w:tabs>
          <w:tab w:val="left" w:pos="0"/>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Обращение может быть отозвано соискателем в письменной форме до момента заключения соглашения.</w:t>
      </w:r>
    </w:p>
    <w:p>
      <w:pPr>
        <w:tabs>
          <w:tab w:val="left" w:pos="0"/>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 случае отзыва обращения рассмотрение обращения прекращается.</w:t>
      </w:r>
    </w:p>
    <w:p>
      <w:pPr>
        <w:tabs>
          <w:tab w:val="left" w:pos="0"/>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Отзыв обращения регистрируется в порядке, установленном Инструкцией по делопроизводству в Администрации района.</w:t>
      </w:r>
    </w:p>
    <w:p>
      <w:pPr>
        <w:tabs>
          <w:tab w:val="left" w:pos="0"/>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 случае отзыва обращения после принятия распоряжения Администрации района об оказании финансовой поддержки соглашение                                  не заключается.</w:t>
      </w:r>
    </w:p>
    <w:p>
      <w:pPr>
        <w:tabs>
          <w:tab w:val="left" w:pos="0"/>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 этом случае информационно-аналитическое управление в срок не более 20 рабочих дней с даты регистрации отзыва обращения готовит проект распоряжения Администрации района об отмене распоряжения Администрации района об оказании финансовой поддержки организации и направляет                             его на согласование в соответствии с требованиями Инструкции                                        по делопроизводству. Согласованный проект распоряжения направляется                        на рассмотрение Главе района.</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Субсидии предоставляются организациям на безвозмездной                              и безвозвратной основе в размере, определенном решением Комиссии,                           в пределах бюджетных ассигнований, предусмотренных решением Районной Думы муниципального образования Тазовский район о бюджете </w:t>
      </w:r>
      <w:r>
        <w:rPr>
          <w:rFonts w:ascii="PT Astra Serif" w:hAnsi="PT Astra Serif"/>
          <w:color w:val="000000"/>
          <w:sz w:val="28"/>
          <w:szCs w:val="28"/>
        </w:rPr>
        <w:lastRenderedPageBreak/>
        <w:t xml:space="preserve">муниципального образования Тазовский район </w:t>
      </w:r>
      <w:r>
        <w:rPr>
          <w:rFonts w:ascii="PT Astra Serif" w:eastAsia="Calibri" w:hAnsi="PT Astra Serif"/>
          <w:color w:val="000000"/>
          <w:sz w:val="28"/>
          <w:szCs w:val="28"/>
        </w:rPr>
        <w:t>(далее – бюджет района)                       на очередной финансовый год и на плановый период</w:t>
      </w:r>
      <w:r>
        <w:rPr>
          <w:rFonts w:ascii="PT Astra Serif" w:hAnsi="PT Astra Serif"/>
          <w:color w:val="000000"/>
          <w:sz w:val="28"/>
          <w:szCs w:val="28"/>
        </w:rPr>
        <w:t>, но не более суммы, указанной в обращении соискателя об оказании финансовой поддержки,                          и обоснованной в примерной смете расходов по использованию субсидии, прилагаемой к обращению.</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Субсидии предоставляются организациям при условии:</w:t>
      </w:r>
    </w:p>
    <w:p>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соответствия критериям, указанным в пункте 1.4 настоящего Порядка;</w:t>
      </w:r>
    </w:p>
    <w:p>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отсутствия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получатель субсидии не должен находиться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pPr>
        <w:pStyle w:val="a3"/>
        <w:widowControl w:val="0"/>
        <w:numPr>
          <w:ilvl w:val="0"/>
          <w:numId w:val="2"/>
        </w:numPr>
        <w:tabs>
          <w:tab w:val="left" w:pos="1134"/>
        </w:tabs>
        <w:autoSpaceDE w:val="0"/>
        <w:autoSpaceDN w:val="0"/>
        <w:spacing w:after="0" w:line="240" w:lineRule="auto"/>
        <w:ind w:left="0" w:firstLine="709"/>
        <w:jc w:val="both"/>
        <w:rPr>
          <w:rFonts w:ascii="PT Astra Serif" w:eastAsia="Calibri" w:hAnsi="PT Astra Serif"/>
          <w:color w:val="000000"/>
          <w:sz w:val="28"/>
          <w:szCs w:val="28"/>
          <w:lang w:eastAsia="en-US"/>
        </w:rPr>
      </w:pPr>
      <w:r>
        <w:rPr>
          <w:rFonts w:ascii="PT Astra Serif" w:hAnsi="PT Astra Serif"/>
          <w:color w:val="000000"/>
          <w:sz w:val="28"/>
          <w:szCs w:val="28"/>
        </w:rPr>
        <w:t>отсутствия у получателя задолженности по оплате труда перед работниками (в случае если получатель состоит в трудовых отношениях                               с работниками);</w:t>
      </w:r>
    </w:p>
    <w:p>
      <w:pPr>
        <w:pStyle w:val="a3"/>
        <w:numPr>
          <w:ilvl w:val="0"/>
          <w:numId w:val="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отсутствия задолженности по представлению документов, предусмотренных </w:t>
      </w:r>
      <w:hyperlink r:id="rId16" w:history="1">
        <w:r>
          <w:rPr>
            <w:rFonts w:ascii="PT Astra Serif" w:hAnsi="PT Astra Serif"/>
            <w:color w:val="000000"/>
            <w:sz w:val="28"/>
            <w:szCs w:val="28"/>
          </w:rPr>
          <w:t>статьей 32</w:t>
        </w:r>
      </w:hyperlink>
      <w:r>
        <w:rPr>
          <w:rFonts w:ascii="PT Astra Serif" w:hAnsi="PT Astra Serif"/>
          <w:color w:val="000000"/>
          <w:sz w:val="28"/>
          <w:szCs w:val="28"/>
        </w:rPr>
        <w:t xml:space="preserve"> Федерального закона от 12 января 1996 года                            № 7-ФЗ «О некоммерческих организациях», в Министерство юстиции Российской Федерации (его территориальный орган) за предыдущий финансовый год;</w:t>
      </w:r>
    </w:p>
    <w:p>
      <w:pPr>
        <w:pStyle w:val="a3"/>
        <w:numPr>
          <w:ilvl w:val="0"/>
          <w:numId w:val="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заключения и исполнения соглашения о предоставлении субсидии                          с Администрацией района;</w:t>
      </w:r>
    </w:p>
    <w:p>
      <w:pPr>
        <w:pStyle w:val="a3"/>
        <w:numPr>
          <w:ilvl w:val="0"/>
          <w:numId w:val="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исполнения организацией условий, целей и порядка предоставления субсидии;</w:t>
      </w:r>
    </w:p>
    <w:p>
      <w:pPr>
        <w:pStyle w:val="a3"/>
        <w:numPr>
          <w:ilvl w:val="0"/>
          <w:numId w:val="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согласие получателя субсидии и лиц, являющихся поставщиками (подрядчиками, исполнителями) по договорам (соглашениям), заключенным в целях исполнения обязательств по соглашению, на осуществление ответственным исполнительным органом и органом муниципального финансового контроля проверок соблюдения ими условий, целей и порядка предоставления субсидии;</w:t>
      </w:r>
    </w:p>
    <w:p>
      <w:pPr>
        <w:pStyle w:val="a3"/>
        <w:widowControl w:val="0"/>
        <w:numPr>
          <w:ilvl w:val="0"/>
          <w:numId w:val="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ведения организациями обособленного учета операций со средствами субсидий.</w:t>
      </w:r>
    </w:p>
    <w:p>
      <w:pPr>
        <w:pStyle w:val="a3"/>
        <w:widowControl w:val="0"/>
        <w:numPr>
          <w:ilvl w:val="0"/>
          <w:numId w:val="4"/>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отсутствия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pPr>
        <w:widowControl w:val="0"/>
        <w:tabs>
          <w:tab w:val="left" w:pos="1276"/>
        </w:tabs>
        <w:autoSpaceDE w:val="0"/>
        <w:autoSpaceDN w:val="0"/>
        <w:adjustRightInd w:val="0"/>
        <w:spacing w:after="0" w:line="240" w:lineRule="auto"/>
        <w:ind w:firstLine="709"/>
        <w:jc w:val="both"/>
        <w:rPr>
          <w:rFonts w:ascii="PT Astra Serif" w:eastAsia="Calibri" w:hAnsi="PT Astra Serif"/>
          <w:color w:val="000000"/>
          <w:szCs w:val="28"/>
        </w:rPr>
      </w:pPr>
      <w:r>
        <w:rPr>
          <w:rFonts w:ascii="PT Astra Serif" w:hAnsi="PT Astra Serif"/>
          <w:color w:val="000000"/>
          <w:szCs w:val="28"/>
        </w:rPr>
        <w:t xml:space="preserve">Организация должна соответствовать требованиям, указанным                                  в подпунктах 2, 3, 10, пункта 2.8 настоящего Порядка, - </w:t>
      </w:r>
      <w:r>
        <w:rPr>
          <w:rFonts w:ascii="PT Astra Serif" w:eastAsia="Calibri" w:hAnsi="PT Astra Serif"/>
          <w:color w:val="000000"/>
          <w:szCs w:val="28"/>
        </w:rPr>
        <w:t>на дату                                             не ранее 30 дней до даты заключения соглашения.</w:t>
      </w:r>
    </w:p>
    <w:p>
      <w:pPr>
        <w:pStyle w:val="a3"/>
        <w:widowControl w:val="0"/>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Финансирование субсидии осуществляется Администрацией                    района по заявке, предоставленной организацией по форме согласно                               приложению № 3 к настоящему Порядку,  в соответствии с  утвержденной сметой (далее – Заявка) в пределах утвержденных лимитов бюджетных обязательств и утвержденного кассового плана, сформированного на основании предложенного организацией графика финансирования в соответствии                            с подпунктом 8 пункта 2.3 настоящего Порядка и не позднее 4 рабочих дней после заключения Соглашения.</w:t>
      </w:r>
    </w:p>
    <w:p>
      <w:pPr>
        <w:widowControl w:val="0"/>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Перечисление субсидии осуществляется по заявке организации в виде аванса в сумме, установленной утвержденным кассовым планом местного бюджета на соответствующий период, но не более 50 процентов от размера субсидии, предусмотренной Соглашением.</w:t>
      </w:r>
    </w:p>
    <w:p>
      <w:pPr>
        <w:widowControl w:val="0"/>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Вторая и последующие заявки подаются вместе с финансовым отчетом                    о целевом использовании денежных средств за предыдущий месяц.</w:t>
      </w:r>
    </w:p>
    <w:p>
      <w:pPr>
        <w:widowControl w:val="0"/>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 xml:space="preserve">В случае заключения Соглашения о предоставлении субсидии в декабре, перечисление денежных средств осуществляется по заявке социально ориентированной некоммерческой организации в размере 100 процентов. </w:t>
      </w:r>
    </w:p>
    <w:p>
      <w:pPr>
        <w:widowControl w:val="0"/>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Заявки на финансирование, а также финансовые отчеты об использовании субсидии предоставляются организацией в сроки, предусмотренные соглашением.</w:t>
      </w:r>
    </w:p>
    <w:p>
      <w:pPr>
        <w:widowControl w:val="0"/>
        <w:autoSpaceDE w:val="0"/>
        <w:autoSpaceDN w:val="0"/>
        <w:adjustRightInd w:val="0"/>
        <w:spacing w:after="0" w:line="240" w:lineRule="auto"/>
        <w:jc w:val="center"/>
        <w:rPr>
          <w:rFonts w:ascii="PT Astra Serif" w:hAnsi="PT Astra Serif"/>
          <w:color w:val="000000"/>
          <w:szCs w:val="28"/>
        </w:rPr>
      </w:pPr>
    </w:p>
    <w:p>
      <w:pPr>
        <w:pStyle w:val="a3"/>
        <w:numPr>
          <w:ilvl w:val="0"/>
          <w:numId w:val="8"/>
        </w:numPr>
        <w:spacing w:after="0" w:line="240" w:lineRule="auto"/>
        <w:ind w:left="0" w:firstLine="0"/>
        <w:jc w:val="center"/>
        <w:rPr>
          <w:rFonts w:ascii="PT Astra Serif" w:hAnsi="PT Astra Serif"/>
          <w:b/>
          <w:color w:val="000000"/>
          <w:sz w:val="28"/>
          <w:szCs w:val="28"/>
        </w:rPr>
      </w:pPr>
      <w:r>
        <w:rPr>
          <w:rFonts w:ascii="PT Astra Serif" w:hAnsi="PT Astra Serif"/>
          <w:b/>
          <w:color w:val="000000"/>
          <w:sz w:val="28"/>
          <w:szCs w:val="28"/>
        </w:rPr>
        <w:t>Требования к отчетности</w:t>
      </w:r>
    </w:p>
    <w:p>
      <w:pPr>
        <w:widowControl w:val="0"/>
        <w:autoSpaceDE w:val="0"/>
        <w:autoSpaceDN w:val="0"/>
        <w:adjustRightInd w:val="0"/>
        <w:spacing w:after="0" w:line="240" w:lineRule="auto"/>
        <w:jc w:val="center"/>
        <w:rPr>
          <w:rFonts w:ascii="PT Astra Serif" w:hAnsi="PT Astra Serif"/>
          <w:color w:val="000000"/>
          <w:szCs w:val="28"/>
        </w:rPr>
      </w:pPr>
    </w:p>
    <w:p>
      <w:pPr>
        <w:pStyle w:val="a3"/>
        <w:numPr>
          <w:ilvl w:val="1"/>
          <w:numId w:val="8"/>
        </w:numPr>
        <w:tabs>
          <w:tab w:val="num" w:pos="0"/>
          <w:tab w:val="left" w:pos="1276"/>
        </w:tabs>
        <w:spacing w:after="0" w:line="240" w:lineRule="auto"/>
        <w:ind w:left="0" w:firstLine="709"/>
        <w:jc w:val="both"/>
        <w:rPr>
          <w:rFonts w:ascii="PT Astra Serif" w:hAnsi="PT Astra Serif"/>
          <w:iCs/>
          <w:color w:val="000000"/>
          <w:sz w:val="28"/>
          <w:szCs w:val="28"/>
        </w:rPr>
      </w:pPr>
      <w:r>
        <w:rPr>
          <w:rFonts w:ascii="PT Astra Serif" w:hAnsi="PT Astra Serif"/>
          <w:color w:val="000000"/>
          <w:sz w:val="28"/>
          <w:szCs w:val="28"/>
        </w:rPr>
        <w:t xml:space="preserve">Финансовый отчет об использовании субсидии представляется                       по форме согласно приложению № 4 к настоящему Порядку                                            не позднее 10 числа месяца следующего за отчетным периодом использования субсидии, в письменной форме с заверенными в установленном порядке копиями документов, подтверждающих расходы (далее – финансовый отчет)                    и пояснительной запиской о достижении значений показателей результативности предоставления субсидии с </w:t>
      </w:r>
      <w:r>
        <w:rPr>
          <w:rFonts w:ascii="PT Astra Serif" w:hAnsi="PT Astra Serif"/>
          <w:iCs/>
          <w:color w:val="000000"/>
          <w:sz w:val="28"/>
          <w:szCs w:val="28"/>
        </w:rPr>
        <w:t xml:space="preserve">перечнем и оценочным описанием проведенных (не проведенных) за отчетный период мероприятий. </w:t>
      </w:r>
    </w:p>
    <w:p>
      <w:pPr>
        <w:pStyle w:val="a3"/>
        <w:numPr>
          <w:ilvl w:val="1"/>
          <w:numId w:val="8"/>
        </w:numPr>
        <w:tabs>
          <w:tab w:val="left" w:pos="709"/>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При текущем финансировании, в связи с невозможностью точного планирования натуральных и стоимостных показателей, допускается изменение организацией расходов по мероприятиям в пределах лимита, установленного сметой по соответствующей статье затрат. Экономия средств по утвержденным мероприятиям может быть использована организацией на иные расходы                      по этим же статьям затрат. Уточненная смета с перераспределением расходов на мероприятия в пределах лимита по статье затрат, утверждается руководителем и главным бухгалтером организации и предоставляется                           к финансовому отчету в соответствии с условиями заключенного соглашения.</w:t>
      </w:r>
    </w:p>
    <w:p>
      <w:pPr>
        <w:tabs>
          <w:tab w:val="num" w:pos="0"/>
          <w:tab w:val="left" w:pos="1276"/>
        </w:tabs>
        <w:spacing w:after="0" w:line="240" w:lineRule="auto"/>
        <w:ind w:firstLine="709"/>
        <w:jc w:val="both"/>
        <w:rPr>
          <w:rFonts w:ascii="PT Astra Serif" w:hAnsi="PT Astra Serif"/>
          <w:color w:val="000000"/>
          <w:szCs w:val="28"/>
        </w:rPr>
      </w:pPr>
      <w:r>
        <w:rPr>
          <w:rFonts w:ascii="PT Astra Serif" w:hAnsi="PT Astra Serif"/>
          <w:color w:val="000000"/>
          <w:szCs w:val="28"/>
        </w:rPr>
        <w:t>Перераспределение расходов между статьями затрат допустимо                                по согласованию с Администрацией района путем заключения дополнительного соглашения.</w:t>
      </w:r>
    </w:p>
    <w:p>
      <w:pPr>
        <w:pStyle w:val="a3"/>
        <w:numPr>
          <w:ilvl w:val="1"/>
          <w:numId w:val="8"/>
        </w:numPr>
        <w:tabs>
          <w:tab w:val="num" w:pos="0"/>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Заявка на текущее финансирование и финансовый отчет                              за предыдущий финансовый период, подписанные руководителем                                   и скрепленные печатью (при наличии), предоставляются организацией                          с сопроводительным письмом и регистрируются в Администрации района                      в установленном порядке.</w:t>
      </w:r>
    </w:p>
    <w:p>
      <w:pPr>
        <w:pStyle w:val="a3"/>
        <w:numPr>
          <w:ilvl w:val="1"/>
          <w:numId w:val="8"/>
        </w:numPr>
        <w:tabs>
          <w:tab w:val="num" w:pos="0"/>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Заявка и финансовый отчет за предыдущий отчетный период рассматривается Администрацией района на предмет его целевого использования.</w:t>
      </w:r>
    </w:p>
    <w:p>
      <w:pPr>
        <w:pStyle w:val="a3"/>
        <w:numPr>
          <w:ilvl w:val="2"/>
          <w:numId w:val="8"/>
        </w:numPr>
        <w:tabs>
          <w:tab w:val="left" w:pos="0"/>
          <w:tab w:val="left" w:pos="1560"/>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В случае непринятия финансового отчета оформляется                                   и направляется мотивированный отказ в приеме отчета с перечислением документов, которые необходимо предоставить дополнительно. В случае соответствия финансового отчета установленным требованиям, информационно-аналитическое управление ставит отметку в листе согласования о принятии финансового отчета.</w:t>
      </w:r>
    </w:p>
    <w:p>
      <w:pPr>
        <w:pStyle w:val="a3"/>
        <w:numPr>
          <w:ilvl w:val="2"/>
          <w:numId w:val="8"/>
        </w:numPr>
        <w:tabs>
          <w:tab w:val="num" w:pos="0"/>
          <w:tab w:val="left" w:pos="1560"/>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После принятия финансового отчета заявка на финансирование направляется в Департамент финансов.</w:t>
      </w:r>
    </w:p>
    <w:p>
      <w:pPr>
        <w:tabs>
          <w:tab w:val="num" w:pos="0"/>
          <w:tab w:val="left" w:pos="1560"/>
        </w:tabs>
        <w:spacing w:after="0" w:line="240" w:lineRule="auto"/>
        <w:ind w:firstLine="709"/>
        <w:jc w:val="both"/>
        <w:rPr>
          <w:rFonts w:ascii="PT Astra Serif" w:hAnsi="PT Astra Serif"/>
          <w:color w:val="000000"/>
          <w:szCs w:val="28"/>
        </w:rPr>
      </w:pPr>
      <w:r>
        <w:rPr>
          <w:rFonts w:ascii="PT Astra Serif" w:hAnsi="PT Astra Serif"/>
          <w:color w:val="000000"/>
          <w:szCs w:val="28"/>
        </w:rPr>
        <w:t>Департамент финансов с отметкой в листе согласования о наличии доведенных лимитов бюджетных обязательств на указанные цели                                  по представленной заявке возвращает ее в отдел бухгалтерского учёта                                  и отчётности Администрации Тазовского района (далее бухгалтерия Администрации района) для дальнейшего перечисления организациям – получателям субсидий.</w:t>
      </w:r>
    </w:p>
    <w:p>
      <w:pPr>
        <w:pStyle w:val="a3"/>
        <w:numPr>
          <w:ilvl w:val="2"/>
          <w:numId w:val="8"/>
        </w:numPr>
        <w:tabs>
          <w:tab w:val="num" w:pos="0"/>
          <w:tab w:val="left" w:pos="1560"/>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Согласованный и проверенный финансовый отчет с листом согласования о принятии финансового отчета предоставляется Главе района, либо лицу, его замещающему, для визирования со стороны Администрации района. </w:t>
      </w:r>
    </w:p>
    <w:p>
      <w:pPr>
        <w:tabs>
          <w:tab w:val="num" w:pos="0"/>
          <w:tab w:val="left" w:pos="1560"/>
        </w:tabs>
        <w:spacing w:after="0" w:line="240" w:lineRule="auto"/>
        <w:ind w:firstLine="709"/>
        <w:jc w:val="both"/>
        <w:rPr>
          <w:rFonts w:ascii="PT Astra Serif" w:hAnsi="PT Astra Serif"/>
          <w:color w:val="000000"/>
          <w:szCs w:val="28"/>
        </w:rPr>
      </w:pPr>
      <w:r>
        <w:rPr>
          <w:rFonts w:ascii="PT Astra Serif" w:hAnsi="PT Astra Serif"/>
          <w:color w:val="000000"/>
          <w:szCs w:val="28"/>
        </w:rPr>
        <w:t>Последняя заявка подается до 10 декабря текущего финансового года                       и формируется с учетом прогнозной оценки потребности в средствах                             на предоставление субсидий.</w:t>
      </w:r>
    </w:p>
    <w:p>
      <w:pPr>
        <w:tabs>
          <w:tab w:val="num" w:pos="0"/>
          <w:tab w:val="left" w:pos="1560"/>
        </w:tabs>
        <w:spacing w:after="0" w:line="240" w:lineRule="auto"/>
        <w:ind w:firstLine="709"/>
        <w:jc w:val="both"/>
        <w:rPr>
          <w:rFonts w:ascii="PT Astra Serif" w:hAnsi="PT Astra Serif"/>
          <w:color w:val="000000"/>
          <w:szCs w:val="28"/>
        </w:rPr>
      </w:pPr>
      <w:r>
        <w:rPr>
          <w:rFonts w:ascii="PT Astra Serif" w:hAnsi="PT Astra Serif"/>
          <w:color w:val="000000"/>
          <w:szCs w:val="28"/>
        </w:rPr>
        <w:t>Финансовый отчет о целевом использовании денежных средств                              за декабрь текущего года представляется в следующем порядке: до 25 декабря текущего года – предварительный, до 25 января года, следующего                                        за отчетным – окончательный. После принятия Администрацией района окончательного финансового отчета, бухгалтерия Администрации района оформляет акт сверки взаиморасчетов с организацией за отчетный финансовый год. В течение 10 дней после подписания акта сверки сумма перефинансирования подлежит возврату организацией в бюджет района в части остатка субсидии, неиспользованной в отчетном финансовом году.</w:t>
      </w:r>
    </w:p>
    <w:p>
      <w:pPr>
        <w:tabs>
          <w:tab w:val="num" w:pos="0"/>
          <w:tab w:val="left" w:pos="1560"/>
        </w:tabs>
        <w:spacing w:after="0" w:line="240" w:lineRule="auto"/>
        <w:ind w:firstLine="709"/>
        <w:jc w:val="both"/>
        <w:rPr>
          <w:rFonts w:ascii="PT Astra Serif" w:hAnsi="PT Astra Serif"/>
          <w:color w:val="000000"/>
          <w:szCs w:val="28"/>
        </w:rPr>
      </w:pPr>
      <w:r>
        <w:rPr>
          <w:rFonts w:ascii="PT Astra Serif" w:hAnsi="PT Astra Serif"/>
          <w:color w:val="000000"/>
          <w:szCs w:val="28"/>
        </w:rPr>
        <w:t>В случае превышения фактически сложившейся суммы субсидии                        над размером авансового платежа за последний месяц отчетного Периода, произведенного в соответствии с представленными организацией заявкой                     на финансирование и предварительным финансовым отчетом, возмещение разницы между фактически сложившейся суммой субсидии и предварительно заявленной суммой субсидии не производится.</w:t>
      </w:r>
    </w:p>
    <w:p>
      <w:pPr>
        <w:pStyle w:val="a3"/>
        <w:numPr>
          <w:ilvl w:val="1"/>
          <w:numId w:val="8"/>
        </w:numPr>
        <w:tabs>
          <w:tab w:val="num" w:pos="0"/>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lastRenderedPageBreak/>
        <w:t>В связи с предоставлением субсидии организация обязана вести раздельный учет бюджетных средств от других средств, которыми она владеет и пользуется.</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Администрация района приостанавливает предоставление субсидии в случае выявления следующих обстоятельств, до момента их устранения:</w:t>
      </w:r>
    </w:p>
    <w:p>
      <w:pPr>
        <w:pStyle w:val="a3"/>
        <w:widowControl w:val="0"/>
        <w:numPr>
          <w:ilvl w:val="0"/>
          <w:numId w:val="1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начало процедуры банкротства, реорганизации организации;</w:t>
      </w:r>
    </w:p>
    <w:p>
      <w:pPr>
        <w:pStyle w:val="a3"/>
        <w:widowControl w:val="0"/>
        <w:numPr>
          <w:ilvl w:val="0"/>
          <w:numId w:val="1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наложение ареста на денежные средства, размещенные на банковских счетах получателя субсидии, по основаниям, предусмотренным законодательством Российской Федерации;</w:t>
      </w:r>
    </w:p>
    <w:p>
      <w:pPr>
        <w:pStyle w:val="a3"/>
        <w:widowControl w:val="0"/>
        <w:numPr>
          <w:ilvl w:val="0"/>
          <w:numId w:val="1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неисполнение или ненадлежащее исполнение организацией обязательств, предусмотренных соглашением;</w:t>
      </w:r>
    </w:p>
    <w:p>
      <w:pPr>
        <w:pStyle w:val="a3"/>
        <w:widowControl w:val="0"/>
        <w:numPr>
          <w:ilvl w:val="0"/>
          <w:numId w:val="1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нарушение сроков предоставления или непредставления в полном объеме документов, установленных настоящим Порядком и соглашением;</w:t>
      </w:r>
    </w:p>
    <w:p>
      <w:pPr>
        <w:pStyle w:val="a3"/>
        <w:numPr>
          <w:ilvl w:val="0"/>
          <w:numId w:val="14"/>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представление организацией недостоверных сведений в документах, предусмотренных настоящим Порядком.</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Администрация района в течение 10 (десяти) рабочих дней со дня принятия на основании муниципального правового акта решения                                       о приостановлении предоставления субсидии направляет организации копию правового акта с мотивированным указанием причин приостановки способом, подтверждающим получение.</w:t>
      </w:r>
    </w:p>
    <w:p>
      <w:pPr>
        <w:tabs>
          <w:tab w:val="left" w:pos="1276"/>
        </w:tabs>
        <w:autoSpaceDE w:val="0"/>
        <w:autoSpaceDN w:val="0"/>
        <w:adjustRightInd w:val="0"/>
        <w:spacing w:after="0" w:line="240" w:lineRule="auto"/>
        <w:ind w:firstLine="709"/>
        <w:jc w:val="both"/>
        <w:rPr>
          <w:rFonts w:ascii="PT Astra Serif" w:hAnsi="PT Astra Serif"/>
          <w:color w:val="000000"/>
          <w:szCs w:val="28"/>
        </w:rPr>
      </w:pPr>
      <w:r>
        <w:rPr>
          <w:rFonts w:ascii="PT Astra Serif" w:hAnsi="PT Astra Serif"/>
          <w:color w:val="000000"/>
          <w:szCs w:val="28"/>
        </w:rPr>
        <w:t>Для возобновления предоставления субсидии организация обязана в срок не более 10 (десяти) рабочих дней со дня получения копии правого акта устранить причины, послужившие основанием для приостановления предоставления субсидии. Продление срока для устранения причин                              для приостановления предоставления субсидии возможно по ходатайству организации с указанием максимального срока, на который он может быть продлен. В случае не устранения в установленный срок причин, послуживших основанием для приостановления предоставления субсидии, соглашение                       с организацией расторгается. Сумма субсидии, не подтвержденная финансовым отчетом, подлежит возврату в бюджет района.</w:t>
      </w:r>
    </w:p>
    <w:p>
      <w:pPr>
        <w:pStyle w:val="a3"/>
        <w:numPr>
          <w:ilvl w:val="1"/>
          <w:numId w:val="8"/>
        </w:numPr>
        <w:tabs>
          <w:tab w:val="left" w:pos="1276"/>
        </w:tabs>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Дополнительное выделение бюджетных ассигнований организации                    в течение текущего финансового года осуществляется за счет и в пределах бюджетных ассигнований, предусмотренных решением Районной Думы муниципального образования Тазовский район о бюджете муниципального образования Тазовский район, по дополнительному обращению организации, содержащему обоснование необходимости оказания финансовой поддержки,  планируемый результат в случае ее оказания, а также смету расходов                             с документами, подтверждающими  планируемые расходы, и график финансирования по смете.</w:t>
      </w:r>
    </w:p>
    <w:p>
      <w:pPr>
        <w:autoSpaceDE w:val="0"/>
        <w:autoSpaceDN w:val="0"/>
        <w:adjustRightInd w:val="0"/>
        <w:spacing w:after="0" w:line="240" w:lineRule="auto"/>
        <w:jc w:val="center"/>
        <w:rPr>
          <w:rFonts w:ascii="PT Astra Serif" w:hAnsi="PT Astra Serif"/>
          <w:color w:val="000000"/>
          <w:szCs w:val="28"/>
        </w:rPr>
      </w:pPr>
    </w:p>
    <w:p>
      <w:pPr>
        <w:autoSpaceDE w:val="0"/>
        <w:autoSpaceDN w:val="0"/>
        <w:adjustRightInd w:val="0"/>
        <w:spacing w:after="0" w:line="240" w:lineRule="auto"/>
        <w:jc w:val="center"/>
        <w:rPr>
          <w:rFonts w:ascii="PT Astra Serif" w:hAnsi="PT Astra Serif"/>
          <w:color w:val="000000"/>
          <w:szCs w:val="28"/>
        </w:rPr>
      </w:pPr>
    </w:p>
    <w:p>
      <w:pPr>
        <w:autoSpaceDE w:val="0"/>
        <w:autoSpaceDN w:val="0"/>
        <w:adjustRightInd w:val="0"/>
        <w:spacing w:after="0" w:line="240" w:lineRule="auto"/>
        <w:jc w:val="center"/>
        <w:rPr>
          <w:rFonts w:ascii="PT Astra Serif" w:hAnsi="PT Astra Serif"/>
          <w:color w:val="000000"/>
          <w:szCs w:val="28"/>
        </w:rPr>
      </w:pPr>
    </w:p>
    <w:p>
      <w:pPr>
        <w:pStyle w:val="a3"/>
        <w:numPr>
          <w:ilvl w:val="0"/>
          <w:numId w:val="8"/>
        </w:numPr>
        <w:spacing w:after="0" w:line="240" w:lineRule="auto"/>
        <w:ind w:left="0" w:firstLine="0"/>
        <w:jc w:val="center"/>
        <w:rPr>
          <w:rFonts w:ascii="PT Astra Serif" w:hAnsi="PT Astra Serif"/>
          <w:b/>
          <w:color w:val="000000"/>
          <w:sz w:val="28"/>
          <w:szCs w:val="28"/>
        </w:rPr>
      </w:pPr>
      <w:r>
        <w:rPr>
          <w:rFonts w:ascii="PT Astra Serif" w:hAnsi="PT Astra Serif"/>
          <w:b/>
          <w:color w:val="000000"/>
          <w:sz w:val="28"/>
          <w:szCs w:val="28"/>
        </w:rPr>
        <w:lastRenderedPageBreak/>
        <w:t>Требования об осуществлении контроля за соблюдением условий, целей, и порядка предоставления субсидий и ответственности                                      за их нарушение</w:t>
      </w:r>
    </w:p>
    <w:p>
      <w:pPr>
        <w:widowControl w:val="0"/>
        <w:autoSpaceDE w:val="0"/>
        <w:autoSpaceDN w:val="0"/>
        <w:adjustRightInd w:val="0"/>
        <w:spacing w:after="0" w:line="240" w:lineRule="auto"/>
        <w:jc w:val="center"/>
        <w:rPr>
          <w:rFonts w:ascii="PT Astra Serif" w:hAnsi="PT Astra Serif"/>
          <w:color w:val="000000"/>
          <w:szCs w:val="28"/>
        </w:rPr>
      </w:pPr>
    </w:p>
    <w:p>
      <w:pPr>
        <w:pStyle w:val="a3"/>
        <w:widowControl w:val="0"/>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 xml:space="preserve">Администрация района и органы муниципального финансового контроля муниципального образования Тазовский район, к которым относятся Департамент финансов и Контрольно-Счетная палата муниципального образования Тазовский район, осуществляют обязательную проверку соблюдения организацией условий, целей и порядка предоставления субсидии, определенных соглашением и разделом </w:t>
      </w:r>
      <w:r>
        <w:rPr>
          <w:rFonts w:ascii="PT Astra Serif" w:hAnsi="PT Astra Serif"/>
          <w:color w:val="000000"/>
          <w:sz w:val="28"/>
          <w:szCs w:val="28"/>
          <w:lang w:val="en-US"/>
        </w:rPr>
        <w:t>II</w:t>
      </w:r>
      <w:r>
        <w:rPr>
          <w:rFonts w:ascii="PT Astra Serif" w:hAnsi="PT Astra Serif"/>
          <w:color w:val="000000"/>
          <w:sz w:val="28"/>
          <w:szCs w:val="28"/>
        </w:rPr>
        <w:t xml:space="preserve"> настоящего Порядка.</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По результатам проверок в случае выявления фактов нарушения организацией условий, целей и порядка предоставления субсидии составляется акт проверки, один экземпляр которого вручается организации. Акт является основанием для принятия мер ответственности в соответствии с настоящим Порядком.</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Субсидии подлежат возврату в бюджет района в течение 10 банковских дней в следующих случаях:</w:t>
      </w:r>
    </w:p>
    <w:p>
      <w:pPr>
        <w:pStyle w:val="a3"/>
        <w:numPr>
          <w:ilvl w:val="0"/>
          <w:numId w:val="16"/>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 дня получения копии правого акта о приостановлении предоставления субсидии по основаниям, определенным пунктами 3.6, 3.7 настоящего Порядка;</w:t>
      </w:r>
    </w:p>
    <w:p>
      <w:pPr>
        <w:pStyle w:val="a3"/>
        <w:widowControl w:val="0"/>
        <w:numPr>
          <w:ilvl w:val="0"/>
          <w:numId w:val="16"/>
        </w:numPr>
        <w:tabs>
          <w:tab w:val="left" w:pos="1134"/>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color w:val="000000"/>
          <w:sz w:val="28"/>
          <w:szCs w:val="28"/>
        </w:rPr>
        <w:t>со дня вручения акта проверки соблюдения организацией условий, целей и порядка предоставления субсидии в случае не целевого использования субсидии.</w:t>
      </w:r>
    </w:p>
    <w:p>
      <w:pPr>
        <w:pStyle w:val="a3"/>
        <w:numPr>
          <w:ilvl w:val="1"/>
          <w:numId w:val="8"/>
        </w:numPr>
        <w:shd w:val="clear" w:color="auto" w:fill="FFFFFF"/>
        <w:tabs>
          <w:tab w:val="left" w:pos="1276"/>
        </w:tabs>
        <w:spacing w:after="0" w:line="240" w:lineRule="auto"/>
        <w:ind w:left="0" w:firstLine="709"/>
        <w:jc w:val="both"/>
        <w:rPr>
          <w:rFonts w:ascii="PT Astra Serif" w:hAnsi="PT Astra Serif"/>
          <w:color w:val="000000"/>
          <w:spacing w:val="-1"/>
          <w:sz w:val="28"/>
          <w:szCs w:val="28"/>
        </w:rPr>
      </w:pPr>
      <w:r>
        <w:rPr>
          <w:rFonts w:ascii="PT Astra Serif" w:hAnsi="PT Astra Serif"/>
          <w:color w:val="000000"/>
          <w:spacing w:val="-1"/>
          <w:sz w:val="28"/>
          <w:szCs w:val="28"/>
        </w:rPr>
        <w:t>В случае не возврата бюджетных средств в порядке, определенном пунктом 4.3 настоящего Порядка, взыскание указанных средств осуществляется в судебном порядке.</w:t>
      </w:r>
    </w:p>
    <w:p>
      <w:pPr>
        <w:pStyle w:val="a3"/>
        <w:numPr>
          <w:ilvl w:val="1"/>
          <w:numId w:val="8"/>
        </w:numPr>
        <w:tabs>
          <w:tab w:val="left" w:pos="1276"/>
        </w:tabs>
        <w:autoSpaceDE w:val="0"/>
        <w:autoSpaceDN w:val="0"/>
        <w:adjustRightInd w:val="0"/>
        <w:spacing w:after="0" w:line="240" w:lineRule="auto"/>
        <w:ind w:left="0" w:firstLine="709"/>
        <w:jc w:val="both"/>
        <w:outlineLvl w:val="1"/>
        <w:rPr>
          <w:rFonts w:ascii="PT Astra Serif" w:hAnsi="PT Astra Serif"/>
          <w:color w:val="000000"/>
          <w:sz w:val="28"/>
          <w:szCs w:val="28"/>
        </w:rPr>
      </w:pPr>
      <w:r>
        <w:rPr>
          <w:rFonts w:ascii="PT Astra Serif" w:hAnsi="PT Astra Serif"/>
          <w:color w:val="000000"/>
          <w:sz w:val="28"/>
          <w:szCs w:val="28"/>
        </w:rPr>
        <w:t>Организации несут ответственность за достоверность сведений, указанных в обращениях и приложенных к ним документах, финансовых отчетах об использовании субсидии, а также за соблюдение условий, целей                       и порядка предоставления субсидии, в соответствии с законодательством Российской Федерации.</w:t>
      </w:r>
    </w:p>
    <w:p>
      <w:pPr>
        <w:pStyle w:val="a3"/>
        <w:numPr>
          <w:ilvl w:val="1"/>
          <w:numId w:val="8"/>
        </w:numPr>
        <w:tabs>
          <w:tab w:val="left" w:pos="1276"/>
        </w:tabs>
        <w:autoSpaceDE w:val="0"/>
        <w:autoSpaceDN w:val="0"/>
        <w:adjustRightInd w:val="0"/>
        <w:spacing w:after="0" w:line="240" w:lineRule="auto"/>
        <w:ind w:left="0" w:firstLine="709"/>
        <w:jc w:val="both"/>
        <w:rPr>
          <w:rFonts w:ascii="PT Astra Serif" w:hAnsi="PT Astra Serif"/>
          <w:color w:val="000000"/>
          <w:sz w:val="28"/>
          <w:szCs w:val="28"/>
        </w:rPr>
      </w:pPr>
      <w:r>
        <w:rPr>
          <w:rFonts w:ascii="PT Astra Serif" w:hAnsi="PT Astra Serif"/>
          <w:bCs/>
          <w:color w:val="000000"/>
          <w:sz w:val="28"/>
          <w:szCs w:val="28"/>
        </w:rPr>
        <w:t>Показателем эффективности и результативности использования субсидии является достижение результата, планируемого организацией                             в обращении на оказание финансовой поддержки</w:t>
      </w:r>
      <w:r>
        <w:rPr>
          <w:rFonts w:ascii="PT Astra Serif" w:hAnsi="PT Astra Serif"/>
          <w:color w:val="000000"/>
          <w:sz w:val="28"/>
          <w:szCs w:val="28"/>
        </w:rPr>
        <w:t>.</w:t>
      </w:r>
    </w:p>
    <w:p>
      <w:pPr>
        <w:spacing w:after="0" w:line="240" w:lineRule="auto"/>
        <w:ind w:left="5670"/>
        <w:jc w:val="both"/>
        <w:rPr>
          <w:rFonts w:ascii="PT Astra Serif" w:hAnsi="PT Astra Serif"/>
          <w:color w:val="000000"/>
          <w:szCs w:val="28"/>
        </w:rPr>
      </w:pPr>
    </w:p>
    <w:p>
      <w:pPr>
        <w:spacing w:line="240" w:lineRule="auto"/>
        <w:rPr>
          <w:rFonts w:ascii="PT Astra Serif" w:hAnsi="PT Astra Serif"/>
          <w:szCs w:val="28"/>
        </w:rPr>
      </w:pPr>
    </w:p>
    <w:sectPr>
      <w:headerReference w:type="default" r:id="rId1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774671"/>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2</w:t>
        </w:r>
        <w:r>
          <w:rPr>
            <w:rFonts w:ascii="PT Astra Serif" w:hAnsi="PT Astra Serif"/>
            <w:sz w:val="24"/>
          </w:rPr>
          <w:fldChar w:fldCharType="end"/>
        </w:r>
      </w:p>
    </w:sdtContent>
  </w:sdt>
  <w:p>
    <w:pPr>
      <w:pStyle w:val="a6"/>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A37F3"/>
    <w:multiLevelType w:val="hybridMultilevel"/>
    <w:tmpl w:val="C0622B84"/>
    <w:lvl w:ilvl="0" w:tplc="0F8E2BF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AB05D1"/>
    <w:multiLevelType w:val="hybridMultilevel"/>
    <w:tmpl w:val="0E2869B6"/>
    <w:lvl w:ilvl="0" w:tplc="04190011">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E421D2D"/>
    <w:multiLevelType w:val="hybridMultilevel"/>
    <w:tmpl w:val="C3F2C6EE"/>
    <w:lvl w:ilvl="0" w:tplc="8EE8D4F4">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C25096"/>
    <w:multiLevelType w:val="hybridMultilevel"/>
    <w:tmpl w:val="C28056FE"/>
    <w:lvl w:ilvl="0" w:tplc="8EE8D4F4">
      <w:start w:val="5"/>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FB5D89"/>
    <w:multiLevelType w:val="hybridMultilevel"/>
    <w:tmpl w:val="228E0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A712B3"/>
    <w:multiLevelType w:val="multilevel"/>
    <w:tmpl w:val="0D76DB74"/>
    <w:lvl w:ilvl="0">
      <w:start w:val="1"/>
      <w:numFmt w:val="decimal"/>
      <w:lvlText w:val="%1."/>
      <w:lvlJc w:val="left"/>
      <w:pPr>
        <w:ind w:left="720" w:hanging="360"/>
      </w:pPr>
      <w:rPr>
        <w:rFonts w:hint="default"/>
      </w:rPr>
    </w:lvl>
    <w:lvl w:ilvl="1">
      <w:start w:val="1"/>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2C950FFF"/>
    <w:multiLevelType w:val="multilevel"/>
    <w:tmpl w:val="0D76DB74"/>
    <w:lvl w:ilvl="0">
      <w:start w:val="1"/>
      <w:numFmt w:val="decimal"/>
      <w:lvlText w:val="%1."/>
      <w:lvlJc w:val="left"/>
      <w:pPr>
        <w:ind w:left="720" w:hanging="360"/>
      </w:pPr>
      <w:rPr>
        <w:rFonts w:hint="default"/>
      </w:rPr>
    </w:lvl>
    <w:lvl w:ilvl="1">
      <w:start w:val="1"/>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D500D46"/>
    <w:multiLevelType w:val="multilevel"/>
    <w:tmpl w:val="19BEE63A"/>
    <w:lvl w:ilvl="0">
      <w:start w:val="1"/>
      <w:numFmt w:val="upperRoman"/>
      <w:lvlText w:val="%1."/>
      <w:lvlJc w:val="left"/>
      <w:pPr>
        <w:ind w:left="1440" w:hanging="7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2EF821EA"/>
    <w:multiLevelType w:val="hybridMultilevel"/>
    <w:tmpl w:val="3EE09616"/>
    <w:lvl w:ilvl="0" w:tplc="74D2345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384AAB"/>
    <w:multiLevelType w:val="multilevel"/>
    <w:tmpl w:val="19BEE63A"/>
    <w:lvl w:ilvl="0">
      <w:start w:val="1"/>
      <w:numFmt w:val="upperRoman"/>
      <w:lvlText w:val="%1."/>
      <w:lvlJc w:val="left"/>
      <w:pPr>
        <w:ind w:left="1440" w:hanging="7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389C72DD"/>
    <w:multiLevelType w:val="multilevel"/>
    <w:tmpl w:val="19BEE63A"/>
    <w:lvl w:ilvl="0">
      <w:start w:val="1"/>
      <w:numFmt w:val="upperRoman"/>
      <w:lvlText w:val="%1."/>
      <w:lvlJc w:val="left"/>
      <w:pPr>
        <w:ind w:left="1440" w:hanging="7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494B182A"/>
    <w:multiLevelType w:val="hybridMultilevel"/>
    <w:tmpl w:val="AFA82E98"/>
    <w:lvl w:ilvl="0" w:tplc="D50CCAD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3F4788D"/>
    <w:multiLevelType w:val="hybridMultilevel"/>
    <w:tmpl w:val="ADDC670C"/>
    <w:lvl w:ilvl="0" w:tplc="7FD21294">
      <w:start w:val="1"/>
      <w:numFmt w:val="decimal"/>
      <w:lvlText w:val="%1)"/>
      <w:lvlJc w:val="left"/>
      <w:pPr>
        <w:ind w:left="928" w:hanging="360"/>
      </w:pPr>
      <w:rPr>
        <w:color w:val="auto"/>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590855AB"/>
    <w:multiLevelType w:val="hybridMultilevel"/>
    <w:tmpl w:val="A1A2634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63E2492"/>
    <w:multiLevelType w:val="hybridMultilevel"/>
    <w:tmpl w:val="687AA19C"/>
    <w:lvl w:ilvl="0" w:tplc="0D00241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9AA6ADE"/>
    <w:multiLevelType w:val="multilevel"/>
    <w:tmpl w:val="19BEE63A"/>
    <w:lvl w:ilvl="0">
      <w:start w:val="1"/>
      <w:numFmt w:val="upperRoman"/>
      <w:lvlText w:val="%1."/>
      <w:lvlJc w:val="left"/>
      <w:pPr>
        <w:ind w:left="1440" w:hanging="7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
  </w:num>
  <w:num w:numId="2">
    <w:abstractNumId w:val="12"/>
  </w:num>
  <w:num w:numId="3">
    <w:abstractNumId w:val="8"/>
  </w:num>
  <w:num w:numId="4">
    <w:abstractNumId w:val="2"/>
  </w:num>
  <w:num w:numId="5">
    <w:abstractNumId w:val="4"/>
  </w:num>
  <w:num w:numId="6">
    <w:abstractNumId w:val="5"/>
  </w:num>
  <w:num w:numId="7">
    <w:abstractNumId w:val="6"/>
  </w:num>
  <w:num w:numId="8">
    <w:abstractNumId w:val="10"/>
  </w:num>
  <w:num w:numId="9">
    <w:abstractNumId w:val="14"/>
  </w:num>
  <w:num w:numId="10">
    <w:abstractNumId w:val="0"/>
  </w:num>
  <w:num w:numId="11">
    <w:abstractNumId w:val="3"/>
  </w:num>
  <w:num w:numId="12">
    <w:abstractNumId w:val="15"/>
  </w:num>
  <w:num w:numId="13">
    <w:abstractNumId w:val="7"/>
  </w:num>
  <w:num w:numId="14">
    <w:abstractNumId w:val="13"/>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8F8F6C-50B2-4110-BE45-C88A4715B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Times New Roman" w:hAnsi="Times New Roman" w:cs="Times New Roman"/>
      <w:sz w:val="28"/>
      <w:lang w:eastAsia="ru-RU"/>
    </w:rPr>
  </w:style>
  <w:style w:type="paragraph" w:styleId="1">
    <w:name w:val="heading 1"/>
    <w:basedOn w:val="a"/>
    <w:next w:val="a"/>
    <w:link w:val="10"/>
    <w:uiPriority w:val="99"/>
    <w:qFormat/>
    <w:pPr>
      <w:keepNext/>
      <w:spacing w:after="0" w:line="240" w:lineRule="auto"/>
      <w:outlineLvl w:val="0"/>
    </w:pPr>
    <w:rPr>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Pr>
      <w:rFonts w:ascii="Times New Roman" w:eastAsia="Times New Roman" w:hAnsi="Times New Roman" w:cs="Times New Roman"/>
      <w:sz w:val="28"/>
      <w:szCs w:val="24"/>
      <w:lang w:val="x-none" w:eastAsia="ru-RU"/>
    </w:rPr>
  </w:style>
  <w:style w:type="paragraph" w:customStyle="1" w:styleId="ConsPlusNormal">
    <w:name w:val="ConsPlusNormal"/>
    <w:pPr>
      <w:autoSpaceDE w:val="0"/>
      <w:autoSpaceDN w:val="0"/>
      <w:adjustRightInd w:val="0"/>
      <w:spacing w:after="0" w:line="240" w:lineRule="auto"/>
      <w:ind w:firstLine="720"/>
    </w:pPr>
    <w:rPr>
      <w:rFonts w:ascii="Arial" w:eastAsia="Times New Roman" w:hAnsi="Arial" w:cs="Arial"/>
      <w:sz w:val="28"/>
      <w:lang w:eastAsia="ru-RU"/>
    </w:rPr>
  </w:style>
  <w:style w:type="paragraph" w:styleId="a3">
    <w:name w:val="List Paragraph"/>
    <w:basedOn w:val="a"/>
    <w:uiPriority w:val="34"/>
    <w:qFormat/>
    <w:pPr>
      <w:ind w:left="720"/>
      <w:contextualSpacing/>
    </w:pPr>
    <w:rPr>
      <w:rFonts w:ascii="Calibri" w:hAnsi="Calibri"/>
      <w:sz w:val="22"/>
    </w:r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Pr>
      <w:rFonts w:ascii="Segoe UI" w:eastAsia="Times New Roman" w:hAnsi="Segoe UI" w:cs="Segoe UI"/>
      <w:sz w:val="18"/>
      <w:szCs w:val="18"/>
      <w:lang w:eastAsia="ru-RU"/>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ascii="Times New Roman" w:eastAsia="Times New Roman" w:hAnsi="Times New Roman" w:cs="Times New Roman"/>
      <w:sz w:val="28"/>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ascii="Times New Roman" w:eastAsia="Times New Roman" w:hAnsi="Times New Roman" w:cs="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25943A01E668EF01FFB29E2F9E66EAF20F3E4280FE23BE36D77564E10181E49169B0DFADi3r7J" TargetMode="External"/><Relationship Id="rId13" Type="http://schemas.openxmlformats.org/officeDocument/2006/relationships/hyperlink" Target="consultantplus://offline/ref=F83D8E9E7450C6523EB41A1205327EAB048CD985305353454D148A5F6724D0ACBC6749F7F0tAv9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83D8E9E7450C6523EB4041F135E29A603808F8136535811184BD102302DDAFBFB2810B5B6A0B83FB6802Ft0v1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E53D28CB7700FA89962EE50340E453F3BA08039D3949E3DFC6C9417CE6CB617CD2D8473FAA1E02E21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83D8E9E7450C6523EB4041F135E29A603808F8136535811184BD102302DDAFBFB2810B5B6A0B83FB6802Ft0v1G" TargetMode="External"/><Relationship Id="rId5" Type="http://schemas.openxmlformats.org/officeDocument/2006/relationships/webSettings" Target="webSettings.xml"/><Relationship Id="rId15" Type="http://schemas.openxmlformats.org/officeDocument/2006/relationships/hyperlink" Target="consultantplus://offline/ref=FAD3AC259A30C71E15C57B2425B75DD54B915EDB62EC147C4551257C81c9H7H" TargetMode="External"/><Relationship Id="rId10" Type="http://schemas.openxmlformats.org/officeDocument/2006/relationships/hyperlink" Target="consultantplus://offline/ref=B39708AEC488347F5F4CD6AEF2DFD35023E575D7EECA6F30DEF39D2C1D22DC19B9E9A52922647C6Du4M0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825943A01E668EF01FFB29E2F9E66EAF20F3E4280FE23BE36D77564E10181E49169B0DFADi3r7J" TargetMode="External"/><Relationship Id="rId14" Type="http://schemas.openxmlformats.org/officeDocument/2006/relationships/hyperlink" Target="consultantplus://offline/ref=F83D8E9E7450C6523EB41A1205327EAB048CD985305353454D148A5F6724D0ACBC6749F7F1tAv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6FEF-C8D6-4C78-B8D9-35274B1F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4877</Words>
  <Characters>27801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Тимофеева Жанна Андреевна</dc:creator>
  <cp:keywords/>
  <dc:description/>
  <cp:lastModifiedBy>Фадеева Алена Михайловна</cp:lastModifiedBy>
  <cp:revision>20</cp:revision>
  <cp:lastPrinted>2020-01-31T08:53:00Z</cp:lastPrinted>
  <dcterms:created xsi:type="dcterms:W3CDTF">2019-12-27T06:10:00Z</dcterms:created>
  <dcterms:modified xsi:type="dcterms:W3CDTF">2020-01-31T08:55:00Z</dcterms:modified>
</cp:coreProperties>
</file>