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utoSpaceDE w:val="0"/>
        <w:autoSpaceDN w:val="0"/>
        <w:adjustRightInd w:val="0"/>
        <w:spacing w:after="0" w:line="360" w:lineRule="auto"/>
        <w:ind w:left="4536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УТВЕРЖДЕНЫ</w:t>
      </w:r>
    </w:p>
    <w:p>
      <w:pPr>
        <w:autoSpaceDE w:val="0"/>
        <w:autoSpaceDN w:val="0"/>
        <w:adjustRightInd w:val="0"/>
        <w:spacing w:after="0" w:line="240" w:lineRule="auto"/>
        <w:ind w:left="4536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постановлением</w:t>
      </w:r>
    </w:p>
    <w:p>
      <w:pPr>
        <w:autoSpaceDE w:val="0"/>
        <w:autoSpaceDN w:val="0"/>
        <w:adjustRightInd w:val="0"/>
        <w:spacing w:after="0" w:line="240" w:lineRule="auto"/>
        <w:ind w:left="4536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Администрации Тазовского района</w:t>
      </w:r>
    </w:p>
    <w:p>
      <w:pPr>
        <w:autoSpaceDE w:val="0"/>
        <w:autoSpaceDN w:val="0"/>
        <w:adjustRightInd w:val="0"/>
        <w:spacing w:after="0" w:line="240" w:lineRule="auto"/>
        <w:ind w:left="4536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от 26 ноября 2020 года № 44-п</w:t>
      </w:r>
      <w:bookmarkStart w:id="0" w:name="_GoBack"/>
      <w:bookmarkEnd w:id="0"/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Cs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Cs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Основные направления долговой политики </w:t>
      </w: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округа Тазовский район Ямало-Ненецкого автономного округа на 2021 год и на плановый период 2022 и 2023 годов</w:t>
      </w:r>
    </w:p>
    <w:p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Основные направления долговой политики муниципального округа Тазовский район Ямало-Ненецкого автономного округа на 2021 год                                    и на плановый период 2022 и 2023 годов (далее – долговая политика,  Тазовский район) разработаны в соответствии со статьей  107.1 Бюджетного кодекса Российской Федерации в целях реализации ответственной долговой политики Тазовского района и повышения ее эффективности.</w:t>
      </w:r>
    </w:p>
    <w:p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Итоги реализации долговой политики Тазовского района в 2019-               2020 годах.</w:t>
      </w:r>
    </w:p>
    <w:p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Долговая политика Тазовского района предыдущих лет способствовала поддержанию уровня долговой нагрузки на бюджет Тазовского района                          на низком уровне.</w:t>
      </w:r>
    </w:p>
    <w:p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итогам исполнения бюджета Тазовского района за 2019 год                                 и первое полугодие 2020 года отмечается снижение муниципального долга Тазовского района.</w:t>
      </w:r>
    </w:p>
    <w:p>
      <w:pPr>
        <w:pStyle w:val="a3"/>
        <w:spacing w:after="0" w:line="240" w:lineRule="auto"/>
        <w:ind w:left="0" w:firstLine="707"/>
        <w:jc w:val="both"/>
        <w:rPr>
          <w:rFonts w:ascii="PT Astra Serif" w:hAnsi="PT Astra Serif"/>
          <w:sz w:val="28"/>
          <w:szCs w:val="28"/>
        </w:rPr>
      </w:pPr>
    </w:p>
    <w:p>
      <w:pPr>
        <w:pStyle w:val="a3"/>
        <w:spacing w:after="0" w:line="240" w:lineRule="auto"/>
        <w:ind w:left="0" w:firstLine="70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Динамика муниципального долга Тазовского района </w:t>
      </w:r>
    </w:p>
    <w:p>
      <w:pPr>
        <w:pStyle w:val="a3"/>
        <w:spacing w:after="0" w:line="240" w:lineRule="auto"/>
        <w:ind w:left="0" w:firstLine="707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838"/>
        <w:gridCol w:w="1564"/>
        <w:gridCol w:w="1560"/>
        <w:gridCol w:w="1417"/>
        <w:gridCol w:w="1559"/>
        <w:gridCol w:w="1418"/>
      </w:tblGrid>
      <w:tr>
        <w:tc>
          <w:tcPr>
            <w:tcW w:w="1838" w:type="dxa"/>
            <w:vAlign w:val="center"/>
          </w:tcPr>
          <w:p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Наименование показателя</w:t>
            </w:r>
          </w:p>
        </w:tc>
        <w:tc>
          <w:tcPr>
            <w:tcW w:w="1564" w:type="dxa"/>
            <w:vAlign w:val="center"/>
          </w:tcPr>
          <w:p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На 01.01.2019</w:t>
            </w:r>
          </w:p>
          <w:p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(тыс. рублей)</w:t>
            </w:r>
          </w:p>
        </w:tc>
        <w:tc>
          <w:tcPr>
            <w:tcW w:w="1560" w:type="dxa"/>
            <w:vAlign w:val="center"/>
          </w:tcPr>
          <w:p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На 01.01.2020</w:t>
            </w:r>
          </w:p>
          <w:p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(тыс. рублей)</w:t>
            </w:r>
          </w:p>
        </w:tc>
        <w:tc>
          <w:tcPr>
            <w:tcW w:w="1417" w:type="dxa"/>
            <w:vAlign w:val="center"/>
          </w:tcPr>
          <w:p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Темп прироста </w:t>
            </w:r>
          </w:p>
          <w:p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к началу 2019 года, %</w:t>
            </w:r>
          </w:p>
        </w:tc>
        <w:tc>
          <w:tcPr>
            <w:tcW w:w="1559" w:type="dxa"/>
            <w:vAlign w:val="center"/>
          </w:tcPr>
          <w:p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На 01.07.2020</w:t>
            </w:r>
          </w:p>
          <w:p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(тыс. рублей)</w:t>
            </w:r>
          </w:p>
        </w:tc>
        <w:tc>
          <w:tcPr>
            <w:tcW w:w="1418" w:type="dxa"/>
            <w:vAlign w:val="center"/>
          </w:tcPr>
          <w:p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Темп прироста </w:t>
            </w:r>
          </w:p>
          <w:p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к началу 2020 года, %</w:t>
            </w:r>
          </w:p>
        </w:tc>
      </w:tr>
      <w:tr>
        <w:tc>
          <w:tcPr>
            <w:tcW w:w="1838" w:type="dxa"/>
            <w:vAlign w:val="center"/>
          </w:tcPr>
          <w:p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Муниципальный долг всего,</w:t>
            </w:r>
          </w:p>
          <w:p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в том числе</w:t>
            </w:r>
          </w:p>
        </w:tc>
        <w:tc>
          <w:tcPr>
            <w:tcW w:w="1564" w:type="dxa"/>
            <w:vAlign w:val="center"/>
          </w:tcPr>
          <w:p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82 380</w:t>
            </w:r>
          </w:p>
        </w:tc>
        <w:tc>
          <w:tcPr>
            <w:tcW w:w="1560" w:type="dxa"/>
            <w:vAlign w:val="center"/>
          </w:tcPr>
          <w:p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64 000</w:t>
            </w:r>
          </w:p>
        </w:tc>
        <w:tc>
          <w:tcPr>
            <w:tcW w:w="1417" w:type="dxa"/>
            <w:vAlign w:val="center"/>
          </w:tcPr>
          <w:p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-22,3</w:t>
            </w:r>
          </w:p>
        </w:tc>
        <w:tc>
          <w:tcPr>
            <w:tcW w:w="1559" w:type="dxa"/>
            <w:vAlign w:val="center"/>
          </w:tcPr>
          <w:p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0</w:t>
            </w:r>
          </w:p>
        </w:tc>
      </w:tr>
      <w:tr>
        <w:tc>
          <w:tcPr>
            <w:tcW w:w="1838" w:type="dxa"/>
            <w:vAlign w:val="center"/>
          </w:tcPr>
          <w:p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муниципальные гарантии</w:t>
            </w:r>
          </w:p>
        </w:tc>
        <w:tc>
          <w:tcPr>
            <w:tcW w:w="1564" w:type="dxa"/>
            <w:vAlign w:val="center"/>
          </w:tcPr>
          <w:p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82 380</w:t>
            </w:r>
          </w:p>
        </w:tc>
        <w:tc>
          <w:tcPr>
            <w:tcW w:w="1560" w:type="dxa"/>
            <w:vAlign w:val="center"/>
          </w:tcPr>
          <w:p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64 000</w:t>
            </w:r>
          </w:p>
        </w:tc>
        <w:tc>
          <w:tcPr>
            <w:tcW w:w="1417" w:type="dxa"/>
            <w:vAlign w:val="center"/>
          </w:tcPr>
          <w:p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-22,3</w:t>
            </w:r>
          </w:p>
        </w:tc>
        <w:tc>
          <w:tcPr>
            <w:tcW w:w="1559" w:type="dxa"/>
            <w:vAlign w:val="center"/>
          </w:tcPr>
          <w:p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0</w:t>
            </w:r>
          </w:p>
        </w:tc>
      </w:tr>
    </w:tbl>
    <w:p>
      <w:pPr>
        <w:pStyle w:val="a3"/>
        <w:spacing w:after="0" w:line="240" w:lineRule="auto"/>
        <w:ind w:left="0" w:firstLine="707"/>
        <w:jc w:val="both"/>
        <w:rPr>
          <w:rFonts w:ascii="PT Astra Serif" w:hAnsi="PT Astra Serif"/>
          <w:sz w:val="28"/>
          <w:szCs w:val="28"/>
        </w:rPr>
      </w:pPr>
    </w:p>
    <w:p>
      <w:pPr>
        <w:pStyle w:val="a3"/>
        <w:spacing w:after="0" w:line="240" w:lineRule="auto"/>
        <w:ind w:left="0" w:firstLine="70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Муниципальный долг по состоянию на 01 января 2020 года снизился                    по сравнению с 01 января 2019 года на 18 380 тыс. рублей и составил                           82 380 тыс. рублей. Отношение объема муниципального долга к доходам бюджета Тазовского района без учета безвозмездных поступлений снизилось                       с 6,3% до 4,5%, что свидетельствует о низкой долговой нагрузке на бюджет Тазовского района.</w:t>
      </w:r>
    </w:p>
    <w:p>
      <w:pPr>
        <w:pStyle w:val="a3"/>
        <w:spacing w:after="0" w:line="240" w:lineRule="auto"/>
        <w:ind w:left="0" w:firstLine="70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Выполнение в течение первого полугодия 2020 года принципалами перед кредитными организациями своих обязательств, обеспеченных м</w:t>
      </w:r>
      <w:r>
        <w:rPr>
          <w:rFonts w:ascii="PT Astra Serif" w:hAnsi="PT Astra Serif"/>
          <w:spacing w:val="-20"/>
          <w:sz w:val="28"/>
          <w:szCs w:val="28"/>
        </w:rPr>
        <w:t>униципальны</w:t>
      </w:r>
      <w:r>
        <w:rPr>
          <w:rFonts w:ascii="PT Astra Serif" w:hAnsi="PT Astra Serif"/>
          <w:sz w:val="28"/>
          <w:szCs w:val="28"/>
        </w:rPr>
        <w:t>ми гарантиями, позволило сократить муниципальный долг до нуля.</w:t>
      </w:r>
    </w:p>
    <w:p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Муниципальный долг в полном объеме состоит из муниципальных гарантий,  </w:t>
      </w:r>
      <w:r>
        <w:rPr>
          <w:rFonts w:ascii="PT Astra Serif" w:hAnsi="PT Astra Serif" w:cs="PT Astra Serif"/>
          <w:sz w:val="28"/>
          <w:szCs w:val="28"/>
          <w:lang w:eastAsia="ru-RU"/>
        </w:rPr>
        <w:t>выраженных в валюте Российской Федерации.</w:t>
      </w:r>
    </w:p>
    <w:p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 xml:space="preserve">Муниципальные гарантии в 2014-2018 годах предоставлялись                                 как с наличием, так и с отсутствием права регрессного требования. </w:t>
      </w:r>
    </w:p>
    <w:p>
      <w:pPr>
        <w:pStyle w:val="a3"/>
        <w:spacing w:after="0" w:line="240" w:lineRule="auto"/>
        <w:ind w:left="0" w:firstLine="70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Гарантийных случаев по предоставленным муниципальным гарантиям                    не было, обеспеченные муниципальными гарантиями обязательства исполнены принципалами в полном объеме.</w:t>
      </w:r>
    </w:p>
    <w:p>
      <w:pPr>
        <w:pStyle w:val="a3"/>
        <w:spacing w:after="0" w:line="240" w:lineRule="auto"/>
        <w:ind w:left="0" w:firstLine="70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2019 году и истекшем периоде 2020 года потребность в привлечении бюджетных кредитов от других бюджетов бюджетной системы Российской Федерации не возникала.</w:t>
      </w:r>
    </w:p>
    <w:p>
      <w:pPr>
        <w:pStyle w:val="a3"/>
        <w:spacing w:after="0" w:line="240" w:lineRule="auto"/>
        <w:ind w:left="0" w:firstLine="70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Таким образом расходы на обслуживание муниципального долга                                в 2019-2020 годах не осуществлялись.</w:t>
      </w:r>
    </w:p>
    <w:p>
      <w:pPr>
        <w:pStyle w:val="a3"/>
        <w:spacing w:after="0" w:line="240" w:lineRule="auto"/>
        <w:ind w:left="0" w:firstLine="70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итогам 2019 года бюджет Тазовского района исполнен с профицитом.</w:t>
      </w:r>
    </w:p>
    <w:p>
      <w:pPr>
        <w:pStyle w:val="a3"/>
        <w:spacing w:after="0" w:line="240" w:lineRule="auto"/>
        <w:ind w:left="0" w:firstLine="70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Порядком оценки долговой устойчивости муниципального образования в Ямало-Ненецком автономном округе, утвержденным постановлением Правительства Ямало-Ненецкого автономного округа от 26 декабря 2019 года № 1412-П, Тазовский район в 2020 году                      отнесен к группе заемщиков с высоким уровнем долговой устойчивости. </w:t>
      </w:r>
    </w:p>
    <w:p>
      <w:pPr>
        <w:pStyle w:val="a3"/>
        <w:spacing w:after="0" w:line="240" w:lineRule="auto"/>
        <w:ind w:left="0" w:firstLine="70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Calibri"/>
          <w:sz w:val="28"/>
          <w:szCs w:val="28"/>
          <w:lang w:eastAsia="ru-RU"/>
        </w:rPr>
        <w:t>Информация о величине и структуре муниципального долга Тазовского района ежемесячно размещается на официальном сайте финансового органа Тазовского района.</w:t>
      </w:r>
    </w:p>
    <w:p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Основные факторы, определяющие характер и направления долговой политики Тазовского района.</w:t>
      </w:r>
    </w:p>
    <w:p>
      <w:pPr>
        <w:pStyle w:val="a3"/>
        <w:spacing w:after="0" w:line="240" w:lineRule="auto"/>
        <w:ind w:left="0" w:firstLine="70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Долговая политика Тазовского района определяется текущими особенностями развития экономики Тазовского района, а также требованиями бюджетного законодательства. </w:t>
      </w:r>
    </w:p>
    <w:p>
      <w:pPr>
        <w:pStyle w:val="a3"/>
        <w:spacing w:after="0" w:line="240" w:lineRule="auto"/>
        <w:ind w:left="0" w:firstLine="70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связи с формированием бездефицитного бюджета Тазовского района                    на 2021 год и на плановый период 2022 и 2023 годов привлечение муниципальных заимствований не планируется.</w:t>
      </w:r>
    </w:p>
    <w:p>
      <w:pPr>
        <w:pStyle w:val="a3"/>
        <w:spacing w:after="0" w:line="240" w:lineRule="auto"/>
        <w:ind w:left="0" w:firstLine="70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Приоритеты долговой политики Тазовского района, сложившиеся                             в 2019-2020 годах, будут сохранены и направлены на обеспечение сбалансированности бюджета Тазовского района при безусловном выполнении принятых расходных обязательств и соблюдении норм и ограничений, установленных бюджетным законодательством Российской Федерации.</w:t>
      </w:r>
    </w:p>
    <w:p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Цели и задачи долговой политики Тазовского района.</w:t>
      </w:r>
    </w:p>
    <w:p>
      <w:pPr>
        <w:spacing w:after="0" w:line="240" w:lineRule="auto"/>
        <w:ind w:firstLine="70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Основной целью долговой политики Тазовского района в среднесрочной перспективе будет являться эффективное управление муниципальным долгом Тазовского района, ориентированное на обеспечение сбалансированности бюджета Тазовского района при сохранении высокой степени долговой устойчивости.</w:t>
      </w:r>
    </w:p>
    <w:p>
      <w:pPr>
        <w:spacing w:after="0" w:line="240" w:lineRule="auto"/>
        <w:ind w:firstLine="70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Для достижения указанной цели необходимо обеспечить решение следующих задач:</w:t>
      </w:r>
    </w:p>
    <w:p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поддержание объема дефицита бюджета Тазовского района                               в пределах ограничений, установленных бюджетным законодательством Российской Федерации;</w:t>
      </w:r>
    </w:p>
    <w:p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минимизировать риски наступления гарантийных случаев                               при предоставлении и после предоставления муниципальных гарантий;</w:t>
      </w:r>
    </w:p>
    <w:p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соблюдать показатели и индикаторы, установленные муниципальной программой «Управление муниципальными финансами на 2021-2025 годы»;</w:t>
      </w:r>
    </w:p>
    <w:p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обеспечить доступность информации о муниципальной долге                          в 2021-2023 годах путем размещения информации </w:t>
      </w:r>
      <w:r>
        <w:rPr>
          <w:rFonts w:ascii="PT Astra Serif" w:eastAsia="Times New Roman" w:hAnsi="PT Astra Serif" w:cs="Calibri"/>
          <w:sz w:val="28"/>
          <w:szCs w:val="28"/>
          <w:lang w:eastAsia="ru-RU"/>
        </w:rPr>
        <w:t>на официальном сайте финансового органа Тазовского района.</w:t>
      </w:r>
    </w:p>
    <w:p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Инструменты реализации долговой политики Тазовского района.</w:t>
      </w:r>
    </w:p>
    <w:p>
      <w:pPr>
        <w:spacing w:after="0" w:line="240" w:lineRule="auto"/>
        <w:ind w:firstLine="70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Основными инструментами реализации долговой политики Тазовского района в 2021-2023 годах станут:</w:t>
      </w:r>
    </w:p>
    <w:p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использование остатков средств на счете бюджета Тазовского района в качестве источников финансирования дефицита бюджета Тазовского района;</w:t>
      </w:r>
    </w:p>
    <w:p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привлечение при необходимости муниципальных заимствований                       в целях финансирования дефицита бюджета Тазовского района и пополнения остатков средств на счетах бюджета Тазовского района.</w:t>
      </w:r>
    </w:p>
    <w:p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Анализ рисков для бюджета Тазовского района, возникаюших                             в процессе управления муниципальным долгом Тазовского района.</w:t>
      </w:r>
    </w:p>
    <w:p>
      <w:pPr>
        <w:spacing w:after="0" w:line="240" w:lineRule="auto"/>
        <w:ind w:firstLine="70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Финансовые риски представляют собой возможность финансовых потерь бюджета Тазовского района в результате наступления определенных событий или совершения определенных действий, которые не могут быть заранее предсказаны.</w:t>
      </w:r>
    </w:p>
    <w:p>
      <w:pPr>
        <w:spacing w:after="0" w:line="240" w:lineRule="auto"/>
        <w:ind w:firstLine="70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бюджета Тазовского района возможны следующие риски:</w:t>
      </w:r>
    </w:p>
    <w:p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риск недопоступления доходов в бюджет Тазовского района. В целях минимизации данного риска в Тазовском районе постановлением Администрации Тазовского района утвержден план мероприятий                                   по обеспечению сбалансированности бюджета Тазовского района                                      на 2020 – 2022 годы, направленных на увеличение доходов, оптимизацию                       и повышение эффективности расходов бюджета Тазовского района                                  и управление муниципальным долгом Тазовского района;</w:t>
      </w:r>
    </w:p>
    <w:p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риск наступления гарантийного случая в связи с невыполнением принципалом перед кредитными организациями обязательств, обеспеченных муниципальной гарантией. В целях минимизации данного риска финансовым органом Тазовского района проводится анализ финансового состояния принципала при предоставлении муниципальной гарантии, а также мониторинг финансового состояния принципала после предоставления муниципальной гарантии.</w:t>
      </w:r>
    </w:p>
    <w:p>
      <w:pPr>
        <w:spacing w:after="0" w:line="240" w:lineRule="auto"/>
        <w:ind w:firstLine="707"/>
        <w:jc w:val="both"/>
        <w:rPr>
          <w:rFonts w:ascii="PT Astra Serif" w:hAnsi="PT Astra Serif"/>
          <w:sz w:val="28"/>
          <w:szCs w:val="28"/>
        </w:rPr>
      </w:pPr>
    </w:p>
    <w:sectPr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9937329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>
        <w:pPr>
          <w:pStyle w:val="a7"/>
          <w:jc w:val="center"/>
          <w:rPr>
            <w:rFonts w:ascii="PT Astra Serif" w:hAnsi="PT Astra Serif"/>
            <w:sz w:val="24"/>
          </w:rPr>
        </w:pPr>
        <w:r>
          <w:rPr>
            <w:rFonts w:ascii="PT Astra Serif" w:hAnsi="PT Astra Serif"/>
            <w:sz w:val="24"/>
          </w:rPr>
          <w:fldChar w:fldCharType="begin"/>
        </w:r>
        <w:r>
          <w:rPr>
            <w:rFonts w:ascii="PT Astra Serif" w:hAnsi="PT Astra Serif"/>
            <w:sz w:val="24"/>
          </w:rPr>
          <w:instrText>PAGE   \* MERGEFORMAT</w:instrText>
        </w:r>
        <w:r>
          <w:rPr>
            <w:rFonts w:ascii="PT Astra Serif" w:hAnsi="PT Astra Serif"/>
            <w:sz w:val="24"/>
          </w:rPr>
          <w:fldChar w:fldCharType="separate"/>
        </w:r>
        <w:r>
          <w:rPr>
            <w:rFonts w:ascii="PT Astra Serif" w:hAnsi="PT Astra Serif"/>
            <w:noProof/>
            <w:sz w:val="24"/>
          </w:rPr>
          <w:t>2</w:t>
        </w:r>
        <w:r>
          <w:rPr>
            <w:rFonts w:ascii="PT Astra Serif" w:hAnsi="PT Astra Serif"/>
            <w:sz w:val="24"/>
          </w:rPr>
          <w:fldChar w:fldCharType="end"/>
        </w:r>
      </w:p>
    </w:sdtContent>
  </w:sdt>
  <w:p>
    <w:pPr>
      <w:pStyle w:val="a7"/>
      <w:rPr>
        <w:rFonts w:ascii="PT Astra Serif" w:hAnsi="PT Astra Serif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F5F72"/>
    <w:multiLevelType w:val="multilevel"/>
    <w:tmpl w:val="829ACA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06470C1E"/>
    <w:multiLevelType w:val="hybridMultilevel"/>
    <w:tmpl w:val="BE429C88"/>
    <w:lvl w:ilvl="0" w:tplc="2112F2A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414BE1"/>
    <w:multiLevelType w:val="hybridMultilevel"/>
    <w:tmpl w:val="0B32CBA4"/>
    <w:lvl w:ilvl="0" w:tplc="18306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9704D3"/>
    <w:multiLevelType w:val="hybridMultilevel"/>
    <w:tmpl w:val="0FA8260E"/>
    <w:lvl w:ilvl="0" w:tplc="791A7BF6">
      <w:start w:val="1"/>
      <w:numFmt w:val="decimal"/>
      <w:lvlText w:val="%1.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D366639"/>
    <w:multiLevelType w:val="multilevel"/>
    <w:tmpl w:val="829ACA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216D7855"/>
    <w:multiLevelType w:val="hybridMultilevel"/>
    <w:tmpl w:val="400428E6"/>
    <w:lvl w:ilvl="0" w:tplc="3B70CBBA">
      <w:start w:val="1"/>
      <w:numFmt w:val="upperRoman"/>
      <w:lvlText w:val="%1."/>
      <w:lvlJc w:val="left"/>
      <w:pPr>
        <w:ind w:left="79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6">
    <w:nsid w:val="26177BD8"/>
    <w:multiLevelType w:val="hybridMultilevel"/>
    <w:tmpl w:val="34E6BA2C"/>
    <w:lvl w:ilvl="0" w:tplc="236C4D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6C03B2E"/>
    <w:multiLevelType w:val="hybridMultilevel"/>
    <w:tmpl w:val="0D42DFB2"/>
    <w:lvl w:ilvl="0" w:tplc="CBE4A51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3D0C22BE"/>
    <w:multiLevelType w:val="hybridMultilevel"/>
    <w:tmpl w:val="700C010E"/>
    <w:lvl w:ilvl="0" w:tplc="D1927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C551FA"/>
    <w:multiLevelType w:val="hybridMultilevel"/>
    <w:tmpl w:val="65504508"/>
    <w:lvl w:ilvl="0" w:tplc="217AB76C">
      <w:start w:val="1"/>
      <w:numFmt w:val="bullet"/>
      <w:lvlText w:val="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0">
    <w:nsid w:val="483C6693"/>
    <w:multiLevelType w:val="hybridMultilevel"/>
    <w:tmpl w:val="E8E8A312"/>
    <w:lvl w:ilvl="0" w:tplc="8B6C25E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F44FE7"/>
    <w:multiLevelType w:val="hybridMultilevel"/>
    <w:tmpl w:val="3566F6BC"/>
    <w:lvl w:ilvl="0" w:tplc="92B2382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D4F0D58"/>
    <w:multiLevelType w:val="hybridMultilevel"/>
    <w:tmpl w:val="2A707488"/>
    <w:lvl w:ilvl="0" w:tplc="217AB76C">
      <w:start w:val="1"/>
      <w:numFmt w:val="bullet"/>
      <w:lvlText w:val="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3">
    <w:nsid w:val="522E047E"/>
    <w:multiLevelType w:val="hybridMultilevel"/>
    <w:tmpl w:val="0C10302A"/>
    <w:lvl w:ilvl="0" w:tplc="44DAD4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7E787F"/>
    <w:multiLevelType w:val="hybridMultilevel"/>
    <w:tmpl w:val="94564E92"/>
    <w:lvl w:ilvl="0" w:tplc="9AE6D7E8">
      <w:start w:val="1"/>
      <w:numFmt w:val="decimal"/>
      <w:lvlText w:val="%1."/>
      <w:lvlJc w:val="left"/>
      <w:pPr>
        <w:ind w:left="786" w:hanging="360"/>
      </w:pPr>
      <w:rPr>
        <w:rFonts w:ascii="PT Astra Serif" w:hAnsi="PT Astra Serif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050663"/>
    <w:multiLevelType w:val="hybridMultilevel"/>
    <w:tmpl w:val="5022AEAC"/>
    <w:lvl w:ilvl="0" w:tplc="217AB76C">
      <w:start w:val="1"/>
      <w:numFmt w:val="bullet"/>
      <w:lvlText w:val="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6">
    <w:nsid w:val="6028203F"/>
    <w:multiLevelType w:val="multilevel"/>
    <w:tmpl w:val="827679C6"/>
    <w:lvl w:ilvl="0">
      <w:start w:val="1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731C48CB"/>
    <w:multiLevelType w:val="hybridMultilevel"/>
    <w:tmpl w:val="A4FAB8C6"/>
    <w:lvl w:ilvl="0" w:tplc="0419000F">
      <w:start w:val="1"/>
      <w:numFmt w:val="decimal"/>
      <w:lvlText w:val="%1."/>
      <w:lvlJc w:val="left"/>
      <w:pPr>
        <w:ind w:left="1427" w:hanging="360"/>
      </w:p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8">
    <w:nsid w:val="78523E6C"/>
    <w:multiLevelType w:val="hybridMultilevel"/>
    <w:tmpl w:val="67B89174"/>
    <w:lvl w:ilvl="0" w:tplc="FAA67A40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9">
    <w:nsid w:val="78F777BA"/>
    <w:multiLevelType w:val="multilevel"/>
    <w:tmpl w:val="D21E441A"/>
    <w:lvl w:ilvl="0">
      <w:start w:val="2"/>
      <w:numFmt w:val="decimal"/>
      <w:lvlText w:val="%1"/>
      <w:lvlJc w:val="left"/>
      <w:pPr>
        <w:ind w:left="563" w:hanging="5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7" w:hanging="563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0">
    <w:nsid w:val="7BD44D0F"/>
    <w:multiLevelType w:val="multilevel"/>
    <w:tmpl w:val="829ACA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1">
    <w:nsid w:val="7F5543D3"/>
    <w:multiLevelType w:val="hybridMultilevel"/>
    <w:tmpl w:val="E5E63566"/>
    <w:lvl w:ilvl="0" w:tplc="A04E3A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6"/>
  </w:num>
  <w:num w:numId="5">
    <w:abstractNumId w:val="19"/>
  </w:num>
  <w:num w:numId="6">
    <w:abstractNumId w:val="21"/>
  </w:num>
  <w:num w:numId="7">
    <w:abstractNumId w:val="20"/>
  </w:num>
  <w:num w:numId="8">
    <w:abstractNumId w:val="0"/>
  </w:num>
  <w:num w:numId="9">
    <w:abstractNumId w:val="1"/>
  </w:num>
  <w:num w:numId="10">
    <w:abstractNumId w:val="14"/>
  </w:num>
  <w:num w:numId="11">
    <w:abstractNumId w:val="3"/>
  </w:num>
  <w:num w:numId="12">
    <w:abstractNumId w:val="2"/>
  </w:num>
  <w:num w:numId="13">
    <w:abstractNumId w:val="13"/>
  </w:num>
  <w:num w:numId="14">
    <w:abstractNumId w:val="8"/>
  </w:num>
  <w:num w:numId="15">
    <w:abstractNumId w:val="6"/>
  </w:num>
  <w:num w:numId="16">
    <w:abstractNumId w:val="11"/>
  </w:num>
  <w:num w:numId="17">
    <w:abstractNumId w:val="10"/>
  </w:num>
  <w:num w:numId="18">
    <w:abstractNumId w:val="18"/>
  </w:num>
  <w:num w:numId="19">
    <w:abstractNumId w:val="15"/>
  </w:num>
  <w:num w:numId="20">
    <w:abstractNumId w:val="17"/>
  </w:num>
  <w:num w:numId="21">
    <w:abstractNumId w:val="1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62951E-85C9-46EA-80BA-28035E6D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character" w:customStyle="1" w:styleId="ConsPlusNonformat0">
    <w:name w:val="ConsPlusNonformat Знак"/>
    <w:link w:val="ConsPlusNonformat"/>
    <w:locked/>
    <w:rPr>
      <w:rFonts w:ascii="Courier New" w:hAnsi="Courier New"/>
      <w:sz w:val="22"/>
      <w:lang w:eastAsia="ru-RU"/>
    </w:rPr>
  </w:style>
  <w:style w:type="paragraph" w:styleId="a4">
    <w:name w:val="Balloon Text"/>
    <w:basedOn w:val="a"/>
    <w:link w:val="a5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Pr>
      <w:rFonts w:cs="Times New Roman"/>
    </w:rPr>
  </w:style>
  <w:style w:type="character" w:styleId="a6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</w:style>
  <w:style w:type="character" w:customStyle="1" w:styleId="eop">
    <w:name w:val="eop"/>
    <w:basedOn w:val="a0"/>
  </w:style>
  <w:style w:type="character" w:customStyle="1" w:styleId="spellingerror">
    <w:name w:val="spellingerror"/>
    <w:basedOn w:val="a0"/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Pr>
      <w:lang w:eastAsia="en-US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Pr>
      <w:lang w:eastAsia="en-US"/>
    </w:rPr>
  </w:style>
  <w:style w:type="table" w:styleId="ab">
    <w:name w:val="Table Grid"/>
    <w:basedOn w:val="a1"/>
    <w:unhideWhenUsed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A3844-51F5-4359-A5C4-25984DCF1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2665</TotalTime>
  <Pages>1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 Ковалевская</dc:creator>
  <cp:lastModifiedBy>Фадеева Алена Михайловна</cp:lastModifiedBy>
  <cp:revision>51</cp:revision>
  <cp:lastPrinted>2020-11-27T06:40:00Z</cp:lastPrinted>
  <dcterms:created xsi:type="dcterms:W3CDTF">2019-11-25T12:39:00Z</dcterms:created>
  <dcterms:modified xsi:type="dcterms:W3CDTF">2020-11-27T06:40:00Z</dcterms:modified>
</cp:coreProperties>
</file>