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Приложение № 1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УТВЕРЖДЕНА</w:t>
      </w:r>
      <w:bookmarkStart w:id="0" w:name="_GoBack"/>
      <w:bookmarkEnd w:id="0"/>
    </w:p>
    <w:p>
      <w:pPr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 xml:space="preserve">постановлением 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Администрации Тазовского района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от 26 апреля 2021 года № 370-п</w:t>
      </w:r>
    </w:p>
    <w:p>
      <w:pPr>
        <w:pStyle w:val="23"/>
        <w:spacing w:after="0"/>
        <w:jc w:val="center"/>
        <w:rPr>
          <w:rFonts w:ascii="PT Astra Serif" w:hAnsi="PT Astra Serif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keepNext/>
        <w:keepLines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ОСНОВНАЯ ЧАСТЬ ПОЛОЖЕНИЯ О РАЗМЕЩЕНИИ </w:t>
      </w:r>
    </w:p>
    <w:p>
      <w:pPr>
        <w:keepNext/>
        <w:keepLines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ОБЪЕКТОВ КАПИТАЛЬНОГО СТРОИТЕЛЬСТВА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Площадь территории микрорайона в проектных границах составляет                     2,65 га.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Численность населения микрорайона на расчетный срок принята равной 640 человек.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Коэффициент застройки на расчетный срок увеличится и составит                    0,25, плотность населения – 241,0 чел./га.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сформированном квартале предусматривается многоквартирная жилая застройка малой этажности. 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Проект планировки разработан в целях размещения жилых объектов капитального строительства. 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данном проекте даны предложения по размещению зданий и домов, однако при рабочем проектировании возможны другие варианты                                    их расстановки с обязательным использованием единого стиля архитектурно-планировочного решения, ритмики и акцентов с целью создания живописных линий фасадов, что особенно важно для организации застройки. 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Территория проектирования дифференцирована на следующие территориальные зоны размещения объектов: </w:t>
      </w:r>
    </w:p>
    <w:p>
      <w:pPr>
        <w:pStyle w:val="a0"/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территория жилой застройки;</w:t>
      </w:r>
    </w:p>
    <w:p>
      <w:pPr>
        <w:pStyle w:val="a0"/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территория объектов инженерной инфраструктуры;</w:t>
      </w:r>
    </w:p>
    <w:p>
      <w:pPr>
        <w:pStyle w:val="a0"/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территория линейных объектов инженерной инфраструктуры;</w:t>
      </w:r>
    </w:p>
    <w:p>
      <w:pPr>
        <w:pStyle w:val="a0"/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зеленые насаждения специального назначения (санитарно-защитное озеленение).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Кроме того, выделены территории, предназначенные для б</w:t>
      </w:r>
      <w:r>
        <w:rPr>
          <w:rFonts w:ascii="PT Astra Serif" w:hAnsi="PT Astra Serif"/>
          <w:spacing w:val="-20"/>
          <w:sz w:val="28"/>
          <w:szCs w:val="28"/>
        </w:rPr>
        <w:t>лагоустройства</w:t>
      </w:r>
      <w:r>
        <w:rPr>
          <w:rFonts w:ascii="PT Astra Serif" w:hAnsi="PT Astra Serif"/>
          <w:sz w:val="28"/>
          <w:szCs w:val="28"/>
        </w:rPr>
        <w:t>:</w:t>
      </w:r>
    </w:p>
    <w:p>
      <w:pPr>
        <w:pStyle w:val="a0"/>
        <w:numPr>
          <w:ilvl w:val="0"/>
          <w:numId w:val="8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Зеленые насаждения улиц.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Предельные размеры земельных участков и предельные параметры разрешенного строительства на территории проектирования определены региональными нормативами градостроительного проектирования ЯНАО                      и правилами землепользования и застройки пос. Тазовский. 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Параметры планируемого развития территории:</w:t>
      </w:r>
    </w:p>
    <w:p>
      <w:pPr>
        <w:pStyle w:val="a0"/>
        <w:numPr>
          <w:ilvl w:val="0"/>
          <w:numId w:val="9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зона жилой застройки включает в себя следующие объекты;</w:t>
      </w:r>
    </w:p>
    <w:p>
      <w:pPr>
        <w:pStyle w:val="a0"/>
        <w:numPr>
          <w:ilvl w:val="0"/>
          <w:numId w:val="9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 многоквартирных, трёхэтажных жилых дома, по 4 и 3 секции (проект.);</w:t>
      </w:r>
    </w:p>
    <w:p>
      <w:pPr>
        <w:pStyle w:val="a0"/>
        <w:numPr>
          <w:ilvl w:val="0"/>
          <w:numId w:val="9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линейные подводящие объекты инженерной инфраструктуры.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составе территории объектов инженерной инфраструктуры размещены следующие объекты:</w:t>
      </w:r>
    </w:p>
    <w:p>
      <w:pPr>
        <w:pStyle w:val="a0"/>
        <w:numPr>
          <w:ilvl w:val="0"/>
          <w:numId w:val="10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трансформаторная подстанция;</w:t>
      </w:r>
    </w:p>
    <w:p>
      <w:pPr>
        <w:pStyle w:val="a0"/>
        <w:numPr>
          <w:ilvl w:val="0"/>
          <w:numId w:val="10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емкость для приема сточных вод с погружным насосом.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составе территории линейных объектов инженерной инфраструктуры размещены следующие объекты:</w:t>
      </w:r>
    </w:p>
    <w:p>
      <w:pPr>
        <w:pStyle w:val="a0"/>
        <w:numPr>
          <w:ilvl w:val="0"/>
          <w:numId w:val="11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линейные объекты электроснабжения;</w:t>
      </w:r>
    </w:p>
    <w:p>
      <w:pPr>
        <w:pStyle w:val="a0"/>
        <w:numPr>
          <w:ilvl w:val="0"/>
          <w:numId w:val="11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линейные объекты водоотведения;</w:t>
      </w:r>
    </w:p>
    <w:p>
      <w:pPr>
        <w:pStyle w:val="a0"/>
        <w:numPr>
          <w:ilvl w:val="0"/>
          <w:numId w:val="11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линейные объекты водоснабжения.</w:t>
      </w:r>
    </w:p>
    <w:p>
      <w:pPr>
        <w:pStyle w:val="22"/>
        <w:spacing w:before="0" w:after="0"/>
        <w:rPr>
          <w:rFonts w:ascii="PT Astra Serif" w:hAnsi="PT Astra Serif"/>
        </w:rPr>
      </w:pPr>
      <w:bookmarkStart w:id="1" w:name="_Toc58626476"/>
      <w:r>
        <w:rPr>
          <w:rFonts w:ascii="PT Astra Serif" w:hAnsi="PT Astra Serif"/>
        </w:rPr>
        <w:t>Характеристика развития системы транспортного обслуживания</w:t>
      </w:r>
      <w:bookmarkEnd w:id="1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проектируемом микрорайоне выделены следующие категории улиц:</w:t>
      </w:r>
    </w:p>
    <w:p>
      <w:pPr>
        <w:pStyle w:val="a0"/>
        <w:numPr>
          <w:ilvl w:val="0"/>
          <w:numId w:val="12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проектируемые второстепенные улицы в жилой застройке;</w:t>
      </w:r>
    </w:p>
    <w:p>
      <w:pPr>
        <w:pStyle w:val="a0"/>
        <w:numPr>
          <w:ilvl w:val="0"/>
          <w:numId w:val="12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основные улицы в жилой застройке, примыкающая вплотную                            к проектируемой территории с восточной стороны.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Покрытие проезжих частей – дорожные плиты. Ширина улиц в красных линиях застройки 10,0 м, с шириной проезжей части 6,0 м.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Общая протяженность улично-дорожной сети составляет 1,2 км.                            (</w:t>
      </w:r>
      <w:r>
        <w:rPr>
          <w:rFonts w:ascii="PT Astra Serif" w:hAnsi="PT Astra Serif"/>
          <w:sz w:val="28"/>
          <w:szCs w:val="28"/>
          <w:lang w:val="en-US"/>
        </w:rPr>
        <w:t>S</w:t>
      </w:r>
      <w:r>
        <w:rPr>
          <w:rFonts w:ascii="PT Astra Serif" w:hAnsi="PT Astra Serif"/>
          <w:sz w:val="28"/>
          <w:szCs w:val="28"/>
        </w:rPr>
        <w:t xml:space="preserve"> покрытия дорог и стоянок 1359,6м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>). Для обеспечения безопасности                            и комфортности пешеходного движения проектом допускается произвести устройство искусственных неровностей «лежачих полицейских».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 территории микрорайона не запланировано размещение светофоров. Пешеходное движение осуществляется по системе взаимосвязанных                тротуаров, расположенных вдоль улиц, по которым обеспечивается выход                                       к общественным и иным зонам по кратчайшим расстояниям. Ширина тротуаров принята 1,5 м. Транспортное обслуживание населения осуществляется               согласно генеральному плану совмещенным с проектом планировки                               п. Тазовский, утвержденным 30 апреля 2009 года. По линии движения общественного транспорта в рабочем проектировании требуется разместить автобусные остановки. </w:t>
      </w:r>
    </w:p>
    <w:p>
      <w:pPr>
        <w:pStyle w:val="22"/>
        <w:spacing w:before="0" w:after="0"/>
        <w:rPr>
          <w:rFonts w:ascii="PT Astra Serif" w:hAnsi="PT Astra Serif"/>
        </w:rPr>
      </w:pPr>
      <w:bookmarkStart w:id="2" w:name="_Toc367632023"/>
      <w:bookmarkStart w:id="3" w:name="_Toc58626477"/>
      <w:r>
        <w:rPr>
          <w:rFonts w:ascii="PT Astra Serif" w:hAnsi="PT Astra Serif"/>
        </w:rPr>
        <w:t>Инженерное обеспечение территории</w:t>
      </w:r>
      <w:bookmarkEnd w:id="2"/>
      <w:bookmarkEnd w:id="3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Проектируемые системы инженерного оборудования предусматривают обеспечение населения полным санитарно – техническим благоустройством. </w:t>
      </w:r>
    </w:p>
    <w:p>
      <w:pPr>
        <w:pStyle w:val="32"/>
        <w:spacing w:after="0"/>
        <w:rPr>
          <w:rFonts w:ascii="PT Astra Serif" w:hAnsi="PT Astra Serif"/>
          <w:sz w:val="28"/>
          <w:szCs w:val="28"/>
        </w:rPr>
      </w:pPr>
      <w:bookmarkStart w:id="4" w:name="_Toc367632024"/>
      <w:bookmarkStart w:id="5" w:name="_Toc58626478"/>
      <w:r>
        <w:rPr>
          <w:rFonts w:ascii="PT Astra Serif" w:hAnsi="PT Astra Serif"/>
          <w:sz w:val="28"/>
          <w:szCs w:val="28"/>
        </w:rPr>
        <w:t>Водоснабжение и водоотведение</w:t>
      </w:r>
      <w:bookmarkEnd w:id="4"/>
      <w:bookmarkEnd w:id="5"/>
    </w:p>
    <w:p>
      <w:pPr>
        <w:pStyle w:val="32"/>
        <w:spacing w:after="0"/>
        <w:rPr>
          <w:rFonts w:ascii="PT Astra Serif" w:hAnsi="PT Astra Serif"/>
          <w:sz w:val="28"/>
          <w:szCs w:val="28"/>
        </w:rPr>
      </w:pPr>
      <w:bookmarkStart w:id="6" w:name="_Toc58626479"/>
      <w:r>
        <w:rPr>
          <w:rFonts w:ascii="PT Astra Serif" w:hAnsi="PT Astra Serif"/>
          <w:sz w:val="28"/>
          <w:szCs w:val="28"/>
        </w:rPr>
        <w:t>Водоснабжение</w:t>
      </w:r>
      <w:bookmarkEnd w:id="6"/>
      <w:r>
        <w:rPr>
          <w:rFonts w:ascii="PT Astra Serif" w:hAnsi="PT Astra Serif"/>
          <w:sz w:val="28"/>
          <w:szCs w:val="28"/>
        </w:rPr>
        <w:tab/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Проектируемый водопровод предназначается для снабжения питьевой водой микрорайона многоквартирной жилой застройки. 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Водоснабжение зданий перспективной застройки осуществляется                            от поселковых сетей водопровода. Для стабильной работы системы водоснабжения необходимо:</w:t>
      </w:r>
    </w:p>
    <w:p>
      <w:pPr>
        <w:pStyle w:val="a0"/>
        <w:numPr>
          <w:ilvl w:val="0"/>
          <w:numId w:val="13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проложить водовод Ø 150 в две линии в коридоре коммуникаций;</w:t>
      </w:r>
    </w:p>
    <w:p>
      <w:pPr>
        <w:pStyle w:val="a0"/>
        <w:numPr>
          <w:ilvl w:val="0"/>
          <w:numId w:val="13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проложить подводы к домам Ø 100.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Внеплощадочные и внутриплощадочные сети водопровода выполняются из стальных электросварных труб по ГОСТ 10704-91 диаметром 50-100 мм                  </w:t>
      </w:r>
      <w:r>
        <w:rPr>
          <w:rFonts w:ascii="PT Astra Serif" w:hAnsi="PT Astra Serif"/>
          <w:sz w:val="28"/>
          <w:szCs w:val="28"/>
        </w:rPr>
        <w:lastRenderedPageBreak/>
        <w:t>и прокладывается на эстакаде в изоляции, совместно с сетями теплоснабжения; на участках, не совпадающих с теплосетями теплоснабжения, прокладка предусматривается совместно с теплоспутником. Общая протяженность водопроводной кольцевой и тупиковой составляет 0,13 км.</w:t>
      </w:r>
    </w:p>
    <w:p>
      <w:pPr>
        <w:pStyle w:val="32"/>
        <w:spacing w:after="0"/>
        <w:rPr>
          <w:rFonts w:ascii="PT Astra Serif" w:hAnsi="PT Astra Serif"/>
          <w:sz w:val="28"/>
          <w:szCs w:val="28"/>
        </w:rPr>
      </w:pPr>
      <w:bookmarkStart w:id="7" w:name="_Toc367632026"/>
      <w:bookmarkStart w:id="8" w:name="_Toc58626480"/>
      <w:r>
        <w:rPr>
          <w:rFonts w:ascii="PT Astra Serif" w:hAnsi="PT Astra Serif"/>
          <w:sz w:val="28"/>
          <w:szCs w:val="28"/>
        </w:rPr>
        <w:t>Канализация</w:t>
      </w:r>
      <w:bookmarkEnd w:id="7"/>
      <w:bookmarkEnd w:id="8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Сброс сточных вод от жилых и общественных зданий микрорайона предусматривается в хозяйственно-бытовую сеть канализации, которая проектируется из стальных электросварных труб по ГОСТ 10704-91 диаметром 100-150 мм и прокладывается на эстакаде в изоляции с теплоспутником.                     Общая протяженность напорной канализационной сети составляет 0,1 км; безнапорной канализационной сети составляет 0,03 км.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отведении стоков от существующих и проектируемых зданий                          в канализационные сети от одного или нескольких зданий, а также при пересечения ими проездов необходимо использовать насосы типа Sololift, представляющие собой готовые к подключению насосные агрегаты                                с возможностью размещения их внутри зданий. Также на территориях микрорайонов необходимо предусмотреть накопительные емкости                                    с погружным насосом, для сбора сточных вод от жилых зданий и дальнейшей транспортировки их по магистральному напорному коллектору. Выбор трассы магистральных канализационных сетей и веток присоединений диктуется рельефом местности и застройкой.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стабильной работы системы канализации необходимо:</w:t>
      </w:r>
    </w:p>
    <w:p>
      <w:pPr>
        <w:pStyle w:val="a0"/>
        <w:numPr>
          <w:ilvl w:val="0"/>
          <w:numId w:val="14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проложить напорный коллектор канализации Ø150 в коридоре коммуникаций;</w:t>
      </w:r>
    </w:p>
    <w:p>
      <w:pPr>
        <w:pStyle w:val="a0"/>
        <w:numPr>
          <w:ilvl w:val="0"/>
          <w:numId w:val="14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проложить самотечную сеть канализации к домам Ø 150;</w:t>
      </w:r>
    </w:p>
    <w:p>
      <w:pPr>
        <w:pStyle w:val="a0"/>
        <w:numPr>
          <w:ilvl w:val="0"/>
          <w:numId w:val="14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построить накопительные емкости с погружными насосами,                           в соответствии с расчетными расходами хозяйственно-бытовых стоков                          от потребителей.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Все стоки поступают на существующие очистные сооружения поселка.  Производительность очистных сооружений обеспечивает прием сточных вод                    с проектируемых микрорайонов.</w:t>
      </w:r>
    </w:p>
    <w:p>
      <w:pPr>
        <w:pStyle w:val="32"/>
        <w:spacing w:after="0"/>
        <w:rPr>
          <w:rFonts w:ascii="PT Astra Serif" w:hAnsi="PT Astra Serif"/>
          <w:sz w:val="28"/>
          <w:szCs w:val="28"/>
        </w:rPr>
      </w:pPr>
      <w:bookmarkStart w:id="9" w:name="_Toc367632027"/>
      <w:bookmarkStart w:id="10" w:name="_Toc58626481"/>
      <w:r>
        <w:rPr>
          <w:rFonts w:ascii="PT Astra Serif" w:hAnsi="PT Astra Serif"/>
          <w:sz w:val="28"/>
          <w:szCs w:val="28"/>
        </w:rPr>
        <w:t>Теплоснабжение</w:t>
      </w:r>
      <w:bookmarkEnd w:id="9"/>
      <w:bookmarkEnd w:id="10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Отопление и горячее водоснабжение жилой застройки предусматривается от местных отопительных установок.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Отопление и горячее водоснабжение общественных зданий – автономное, от теплогенераторных с котлами с закрытой камерой сгорания с тепловой мощностью газоиспользующего оборудования менее 100 кВт. </w:t>
      </w:r>
    </w:p>
    <w:p>
      <w:pPr>
        <w:pStyle w:val="32"/>
        <w:spacing w:after="0"/>
        <w:rPr>
          <w:rFonts w:ascii="PT Astra Serif" w:hAnsi="PT Astra Serif"/>
          <w:sz w:val="28"/>
          <w:szCs w:val="28"/>
        </w:rPr>
      </w:pPr>
      <w:bookmarkStart w:id="11" w:name="_Toc367632028"/>
      <w:bookmarkStart w:id="12" w:name="_Toc58626482"/>
      <w:r>
        <w:rPr>
          <w:rFonts w:ascii="PT Astra Serif" w:hAnsi="PT Astra Serif"/>
          <w:sz w:val="28"/>
          <w:szCs w:val="28"/>
        </w:rPr>
        <w:t>Электроснабжение 6 кВ</w:t>
      </w:r>
      <w:bookmarkEnd w:id="11"/>
      <w:bookmarkEnd w:id="12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задачу настоящего раздела входит выявление принципиальной возможности распределения электроэнергии по рассматриваемому микрорайону и определение ориентировочного расположения типовых трансформаторных подстанций (ТП-6/0,4кВ) в проектируемой зоне.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Основным источником электроснабжения микрорайона является электростанция.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Электроснабжение от электростанции будет осуществляется                               по воздушным линиям напряжением 6кВ на железобетонных опорах.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обеспечения электроэнергией проектируемого микрорайона предусматривается установка трансформаторной подстанции 6/0,4кВ ТП№1*                     с двумя трансформаторами, мощностью по 150 кВА.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Схема распределительных сетей 6кВ предусмотрена однолучевой радиальной в сочетании с радиальными линиями 0,4кВ. Сети 6кВ выполняются в воздушными (ВЛ) проводом АС; сети 0,4кВ - воздушными линиями (ВЛИ); наружного освещение - воздушными (ВЛИ).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Внутриплощадочные сети будут рассматриваться на последующих стадиях проектирования.</w:t>
      </w:r>
    </w:p>
    <w:p>
      <w:pPr>
        <w:pStyle w:val="32"/>
        <w:spacing w:after="0"/>
        <w:rPr>
          <w:rFonts w:ascii="PT Astra Serif" w:hAnsi="PT Astra Serif"/>
          <w:sz w:val="28"/>
          <w:szCs w:val="28"/>
        </w:rPr>
      </w:pPr>
      <w:bookmarkStart w:id="13" w:name="_Toc367632030"/>
      <w:bookmarkStart w:id="14" w:name="_Toc58626483"/>
      <w:r>
        <w:rPr>
          <w:rFonts w:ascii="PT Astra Serif" w:hAnsi="PT Astra Serif"/>
          <w:sz w:val="28"/>
          <w:szCs w:val="28"/>
        </w:rPr>
        <w:t>Связь</w:t>
      </w:r>
      <w:bookmarkEnd w:id="13"/>
      <w:bookmarkEnd w:id="14"/>
    </w:p>
    <w:p>
      <w:pPr>
        <w:pStyle w:val="32"/>
        <w:spacing w:after="0"/>
        <w:rPr>
          <w:rFonts w:ascii="PT Astra Serif" w:hAnsi="PT Astra Serif"/>
          <w:sz w:val="28"/>
          <w:szCs w:val="28"/>
        </w:rPr>
      </w:pPr>
      <w:bookmarkStart w:id="15" w:name="_Toc367632031"/>
      <w:bookmarkStart w:id="16" w:name="_Toc58626484"/>
      <w:r>
        <w:rPr>
          <w:rFonts w:ascii="PT Astra Serif" w:hAnsi="PT Astra Serif"/>
          <w:sz w:val="28"/>
          <w:szCs w:val="28"/>
        </w:rPr>
        <w:t>Телефонизация</w:t>
      </w:r>
      <w:bookmarkEnd w:id="15"/>
      <w:bookmarkEnd w:id="16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Телефонная сеть поселка строится по шкафной системе с прокладкой по эстакадам инженерных коммуникаций поселка и, частично, с подвеской кабелей по опорам.</w:t>
      </w:r>
    </w:p>
    <w:p>
      <w:pPr>
        <w:pStyle w:val="32"/>
        <w:spacing w:after="0"/>
        <w:rPr>
          <w:rFonts w:ascii="PT Astra Serif" w:hAnsi="PT Astra Serif"/>
          <w:sz w:val="28"/>
          <w:szCs w:val="28"/>
        </w:rPr>
      </w:pPr>
      <w:bookmarkStart w:id="17" w:name="_Toc215915533"/>
      <w:bookmarkStart w:id="18" w:name="_Toc367632032"/>
      <w:bookmarkStart w:id="19" w:name="_Toc58626485"/>
      <w:r>
        <w:rPr>
          <w:rFonts w:ascii="PT Astra Serif" w:hAnsi="PT Astra Serif"/>
          <w:sz w:val="28"/>
          <w:szCs w:val="28"/>
        </w:rPr>
        <w:t>Радиофикация</w:t>
      </w:r>
      <w:bookmarkEnd w:id="17"/>
      <w:bookmarkEnd w:id="18"/>
      <w:bookmarkEnd w:id="19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Радиофикация поселка может вестись путем создания эфирного радиовещания с использованием УКВ ЧМ станции, размещаемой в здании РУС, и абонентских приемников УКВ ЧМ вещания с фиксированной настройкой.</w:t>
      </w:r>
    </w:p>
    <w:p>
      <w:pPr>
        <w:pStyle w:val="aff5"/>
        <w:spacing w:after="0"/>
        <w:rPr>
          <w:rFonts w:ascii="PT Astra Serif" w:hAnsi="PT Astra Serif"/>
          <w:b/>
          <w:sz w:val="28"/>
          <w:szCs w:val="28"/>
        </w:rPr>
      </w:pPr>
      <w:bookmarkStart w:id="20" w:name="_Toc215915534"/>
      <w:bookmarkStart w:id="21" w:name="_Toc367632033"/>
      <w:r>
        <w:rPr>
          <w:rFonts w:ascii="PT Astra Serif" w:hAnsi="PT Astra Serif"/>
          <w:b/>
          <w:sz w:val="28"/>
          <w:szCs w:val="28"/>
        </w:rPr>
        <w:t>Телевидение</w:t>
      </w:r>
      <w:bookmarkEnd w:id="20"/>
      <w:bookmarkEnd w:id="21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Прием программ телевизионного вещания в поселке осуществляется                        по 12 каналу с РПТЦ «Орбита», расположенного в пос. Газ-Сале. Зона уверенного приема 30-40 км.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перспективе, с созданием в России единого информационного телевизионного пространства на базе спутников «ГАЛС», прием программ TV вещания будет возможен на индивидуальные антенны диаметром 0.6 – 0.9 м.</w:t>
      </w:r>
    </w:p>
    <w:p>
      <w:pPr>
        <w:pStyle w:val="22"/>
        <w:spacing w:before="0" w:after="0"/>
        <w:rPr>
          <w:rFonts w:ascii="PT Astra Serif" w:hAnsi="PT Astra Serif"/>
        </w:rPr>
      </w:pPr>
      <w:bookmarkStart w:id="22" w:name="_Toc367632034"/>
      <w:bookmarkStart w:id="23" w:name="_Toc58626486"/>
      <w:r>
        <w:rPr>
          <w:rFonts w:ascii="PT Astra Serif" w:hAnsi="PT Astra Serif"/>
        </w:rPr>
        <w:t>Инженерная подготовка территории и вертикальная планировка</w:t>
      </w:r>
      <w:bookmarkEnd w:id="22"/>
      <w:bookmarkEnd w:id="23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Проектом планировки предусмотрена вертикальная планировка территории для обеспечения поверхностного стока и рекультивация территорий, непригодных в настоящий момент для строительства. В основу проекта вертикальной планировки положен принцип максимального сохранения существующего рельефа.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Принимаемая проектом схема имеет цель дать принципиальное решение по инженерной подготовке на данной стадии проектирования, для обоснования планировочных решений и подлежит уточнению при рабочем проектировании. Подробно мероприятия по инженерной подготовке и вертикальной планировке отражены на соответствующем чертеже в составе графической части проекта планировки.</w:t>
      </w:r>
    </w:p>
    <w:p>
      <w:pPr>
        <w:pStyle w:val="22"/>
        <w:spacing w:before="0" w:after="0"/>
        <w:rPr>
          <w:rFonts w:ascii="PT Astra Serif" w:hAnsi="PT Astra Serif"/>
        </w:rPr>
      </w:pPr>
      <w:bookmarkStart w:id="24" w:name="_Toc367632035"/>
      <w:bookmarkStart w:id="25" w:name="_Toc58626487"/>
      <w:r>
        <w:rPr>
          <w:rFonts w:ascii="PT Astra Serif" w:hAnsi="PT Astra Serif"/>
        </w:rPr>
        <w:t>Мероприятия по охране окружающей среды</w:t>
      </w:r>
      <w:bookmarkEnd w:id="24"/>
      <w:bookmarkEnd w:id="25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Проектом в целях охраны окружающей среды, снижения                     негативного влияния источников загрязнения, создания комфортных условий для проживания населения предусмотрены следующие проектные решения:</w:t>
      </w:r>
    </w:p>
    <w:p>
      <w:pPr>
        <w:pStyle w:val="a0"/>
        <w:numPr>
          <w:ilvl w:val="0"/>
          <w:numId w:val="15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планировочная структура принята с соблюдением санитарных норм проектирования;</w:t>
      </w:r>
    </w:p>
    <w:p>
      <w:pPr>
        <w:pStyle w:val="a0"/>
        <w:numPr>
          <w:ilvl w:val="0"/>
          <w:numId w:val="15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заложенные объемы строительства, плотности застройки и населения, соответствующие нормативам, создают благоприятную среду обитания;</w:t>
      </w:r>
    </w:p>
    <w:p>
      <w:pPr>
        <w:pStyle w:val="a0"/>
        <w:numPr>
          <w:ilvl w:val="0"/>
          <w:numId w:val="15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вертикальная планировка улиц способствует организованному отводу поверхностных стоков;</w:t>
      </w:r>
    </w:p>
    <w:p>
      <w:pPr>
        <w:pStyle w:val="a0"/>
        <w:numPr>
          <w:ilvl w:val="0"/>
          <w:numId w:val="15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предусматривается очистка дождевых стоков перед сбросом                                в водоемы;</w:t>
      </w:r>
    </w:p>
    <w:p>
      <w:pPr>
        <w:pStyle w:val="a0"/>
        <w:numPr>
          <w:ilvl w:val="0"/>
          <w:numId w:val="15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обе стороны от проезжей части предусмотрено санитарно-защитное озеленение (либо с одной стороны, если иное не позволяет существующее расположение улично-дорожной сети и сетей инженерных коммуникаций);</w:t>
      </w:r>
    </w:p>
    <w:p>
      <w:pPr>
        <w:pStyle w:val="a0"/>
        <w:numPr>
          <w:ilvl w:val="0"/>
          <w:numId w:val="15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тротуары намечаются замостить декоративной тротуарной плиткой различной формы или с асфальтобетонным покрытием;</w:t>
      </w:r>
    </w:p>
    <w:p>
      <w:pPr>
        <w:pStyle w:val="a0"/>
        <w:numPr>
          <w:ilvl w:val="0"/>
          <w:numId w:val="15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планируется организация зон отдыха;</w:t>
      </w:r>
    </w:p>
    <w:p>
      <w:pPr>
        <w:pStyle w:val="a0"/>
        <w:numPr>
          <w:ilvl w:val="0"/>
          <w:numId w:val="15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намечается устройство организованных парковочных площадок.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Санитарная очистка территорий проектируемых жилых кварталов будет осуществляться по планово-регулярной схеме с вывозом твердых бытовых отходов на существующий полигон ТБО.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накопления ТБО на территории микрорайона необходимо расположить не менее 3 контейнеров в жилой застройке.</w:t>
      </w:r>
    </w:p>
    <w:p>
      <w:pPr>
        <w:pStyle w:val="22"/>
        <w:spacing w:before="0" w:after="0"/>
        <w:rPr>
          <w:rFonts w:ascii="PT Astra Serif" w:hAnsi="PT Astra Serif"/>
        </w:rPr>
      </w:pPr>
      <w:bookmarkStart w:id="26" w:name="_Toc58626488"/>
      <w:bookmarkStart w:id="27" w:name="_Toc367393388"/>
      <w:bookmarkStart w:id="28" w:name="_Toc137045900"/>
      <w:r>
        <w:rPr>
          <w:rFonts w:ascii="PT Astra Serif" w:hAnsi="PT Astra Serif"/>
        </w:rPr>
        <w:t>Мероприятия по гражданской обороне и защите территории                                   от чрезвычайных ситуаций природного и техногенного характера</w:t>
      </w:r>
      <w:bookmarkEnd w:id="26"/>
    </w:p>
    <w:bookmarkEnd w:id="27"/>
    <w:bookmarkEnd w:id="28"/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Проектируемый микрорайон не имеет группы по ГО.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Согласно СНиП 2.01.51-90г., территория не попадает в зону                          возможного радиоактивного заражения (загрязнения), возможных разрушений, зону химического заражения и катастрофического затопления.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Ямало-Ненецкий автономного округа не попадает в зону с</w:t>
      </w:r>
      <w:r>
        <w:rPr>
          <w:rFonts w:ascii="PT Astra Serif" w:hAnsi="PT Astra Serif"/>
          <w:spacing w:val="-20"/>
          <w:sz w:val="28"/>
          <w:szCs w:val="28"/>
        </w:rPr>
        <w:t>ветом</w:t>
      </w:r>
      <w:r>
        <w:rPr>
          <w:rFonts w:ascii="PT Astra Serif" w:hAnsi="PT Astra Serif"/>
          <w:sz w:val="28"/>
          <w:szCs w:val="28"/>
        </w:rPr>
        <w:t>аск</w:t>
      </w:r>
      <w:r>
        <w:rPr>
          <w:rFonts w:ascii="PT Astra Serif" w:hAnsi="PT Astra Serif"/>
          <w:spacing w:val="-20"/>
          <w:sz w:val="28"/>
          <w:szCs w:val="28"/>
        </w:rPr>
        <w:t>иров</w:t>
      </w:r>
      <w:r>
        <w:rPr>
          <w:rFonts w:ascii="PT Astra Serif" w:hAnsi="PT Astra Serif"/>
          <w:sz w:val="28"/>
          <w:szCs w:val="28"/>
        </w:rPr>
        <w:t>ки.</w:t>
      </w:r>
    </w:p>
    <w:p>
      <w:pPr>
        <w:pStyle w:val="aff5"/>
        <w:spacing w:after="0"/>
        <w:ind w:firstLine="0"/>
        <w:rPr>
          <w:rFonts w:ascii="PT Astra Serif" w:hAnsi="PT Astra Serif"/>
          <w:sz w:val="28"/>
          <w:szCs w:val="28"/>
        </w:rPr>
      </w:pPr>
    </w:p>
    <w:p>
      <w:pPr>
        <w:pStyle w:val="22"/>
        <w:spacing w:before="0" w:after="0"/>
        <w:rPr>
          <w:rFonts w:ascii="PT Astra Serif" w:hAnsi="PT Astra Serif"/>
        </w:rPr>
      </w:pPr>
      <w:bookmarkStart w:id="29" w:name="_Toc58626489"/>
      <w:r>
        <w:rPr>
          <w:rFonts w:ascii="PT Astra Serif" w:hAnsi="PT Astra Serif"/>
        </w:rPr>
        <w:t>Основные технико-экономические показатели</w:t>
      </w:r>
      <w:bookmarkEnd w:id="2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3471"/>
        <w:gridCol w:w="2426"/>
        <w:gridCol w:w="1860"/>
        <w:gridCol w:w="1222"/>
      </w:tblGrid>
      <w:tr>
        <w:trPr>
          <w:tblHeader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affff8"/>
              <w:rPr>
                <w:rFonts w:ascii="PT Astra Serif" w:hAnsi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/>
                <w:b w:val="0"/>
                <w:sz w:val="22"/>
                <w:szCs w:val="22"/>
              </w:rPr>
              <w:t xml:space="preserve">№ </w:t>
            </w:r>
          </w:p>
          <w:p>
            <w:pPr>
              <w:pStyle w:val="affff8"/>
              <w:rPr>
                <w:rFonts w:ascii="PT Astra Serif" w:hAnsi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/>
                <w:b w:val="0"/>
                <w:sz w:val="22"/>
                <w:szCs w:val="22"/>
              </w:rPr>
              <w:t>п/п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ff8"/>
              <w:rPr>
                <w:rFonts w:ascii="PT Astra Serif" w:hAnsi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/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ff8"/>
              <w:rPr>
                <w:rFonts w:ascii="PT Astra Serif" w:hAnsi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ff8"/>
              <w:rPr>
                <w:rFonts w:ascii="PT Astra Serif" w:hAnsi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/>
                <w:b w:val="0"/>
                <w:sz w:val="22"/>
                <w:szCs w:val="22"/>
              </w:rPr>
              <w:t>Современное состояние на 2020 год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ff8"/>
              <w:rPr>
                <w:rFonts w:ascii="PT Astra Serif" w:hAnsi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/>
                <w:b w:val="0"/>
                <w:sz w:val="22"/>
                <w:szCs w:val="22"/>
              </w:rPr>
              <w:t>Расчетный срок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ТЕРРИТОРИЯ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Площадь территории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проектирования, 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2,654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2,654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Жилые зоны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1.1.1.1.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Многоэтажная застройка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  <w:highlight w:val="red"/>
              </w:rPr>
            </w:pP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1.1.1.2.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Среднеэтажная застройка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1.1.1.3.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Малоэтажная застройка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2,132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1.1.1.4.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Индивидуальная жилая застройка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Общественно-деловая зоны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1.1.3.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Производственные зоны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1.1.4.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Зоны транспортной и инженерной инфраструктур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1.1.5.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Рекреационные зоны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0,260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1.1.6.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1.1.7.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Зоны специального назначения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1.1.8.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Режимные зоны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1.1.9.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Иные зоны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2,654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1,11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Коэффициент застройки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2,5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Коэффициент плотности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застройки "брутто"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Коэффициент застройки "нетто"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Из общей территории: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1.5.1.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земли федеральной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1.5.2.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земли федеральной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1.5.3.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земли муниципальной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собственности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1.5.4.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земли частной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ЖИЛИЩНЫЙ ФОНД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Средняя обеспеченность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населения общей площадью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квартир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кв. м/ 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23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Средняя этажность застройки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этаж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Общий объем жилищного фонда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15,7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2.3.1.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Многоэтажная застройка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rPr>
          <w:trHeight w:val="597"/>
        </w:trP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2.3.2.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Среднеэтажная застройка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2.3.3.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Малоэтажная застройка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15,7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2.3.4.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Индивидуальная жилая застройка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2.4.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Общий объем убыли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жилищного фонда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 от общего объема убыли жилищного фонда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rPr>
          <w:trHeight w:val="497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2.4.1.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 техническому состоянию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2.4.2.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 реконструкции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2.4.3.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 другим причинам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2.5.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Общий объем существующего сохраняемого жилищного фонда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 от общего объема существующего жилищного фонда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2.6.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Общий объем нового жилищного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строительства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15,7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 от общего объема нового жилищного строительства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2.6.1.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 техническому состоянию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2.6.2.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 реконструкции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2.6.3.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 другим причинам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2.7.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Из общего объема нового жилищного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строительства размещается: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2.7.1.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 свободной территории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15,7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2.7.2.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 счет реконструкции существующей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застройки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Кол-во домов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rPr>
          <w:trHeight w:val="1075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2.8.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Обеспеченность жилищного фонда инженерной инфраструктурой: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2.8.1.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электроснабжением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2.8.2.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газоснабжением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(централизованным)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2.8.3.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теплоснабжением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(централизованным)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2.8.4.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связью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2.8.5.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водоснабжением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(централизованным)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2.8.6.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водоотведением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(централизованным)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ОБЪЕКТЫ СОЦИАЛЬНОГО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 КУЛЬТУРНО-БЫТОВОГО ОБСЛУЖИВАНИЯ НАСЕЛЕНИЯ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Учреждения народного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3.1.1.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Детские дошкольные учреждения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3.1.2.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Общеобразовательные школы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3.1.3.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Внешкольные учреждения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3.1.4.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Учреждения начального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 среднего профессионального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Учреждения здравоохранения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 социального обеспечения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3.2.1.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Стационары всех типов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коек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3.2.2.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Амбулаторно-поликлиническая сеть без стационаров,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для постоянного населения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посещений в смену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3.2.3.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Станция скорой помощи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автомобиль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3.2.4.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Аптека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3.2.5.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ФАП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3.2.6.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Дома-интернаты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3.2.7.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Специальные жилые дома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Спортивные и физкультурно-оздоровительные сооружения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3.3.1.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Спортивный зал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м2 площади пола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3.3.2.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Бассейн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м2 зеркала воды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Объекты культурно-досугового назначения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3.4.1.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Клуб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3.4.2.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Библиотека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 хранения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чит. место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Предприятия торговли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3.5.1.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Магазины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м2 торговой площади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3.5.2.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Рыночный комплекс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м2 торговой площади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3.6.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Предприятия общественного питания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3.6.1.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Предприятия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общественного питания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Организации, предоставляющие услуги в сфере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том числе по видам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rPr>
          <w:trHeight w:val="1427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Управление многоквартирными домами и оказание услуг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по содержанию и ремонту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общего имущества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многоквартирных домах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организаций,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осуществляющих управление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многоквартирными домами                      </w:t>
            </w:r>
            <w:r>
              <w:rPr>
                <w:rFonts w:ascii="PT Astra Serif" w:hAnsi="PT Astra Serif"/>
                <w:sz w:val="22"/>
                <w:szCs w:val="22"/>
              </w:rPr>
              <w:lastRenderedPageBreak/>
              <w:t xml:space="preserve">и оказание услуг по содержанию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и ремонту общего имущества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многоквартирных домах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Производство товаров, оказание услуг по электро-, газо-, тепло-,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водоснабжению, водоотведению,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очистке сточных вод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 эксплуатации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объектов, используемых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для утилизации (захоронения) твердых бытовых отходов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организаций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коммунального комплекса,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осуществляющих производство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товаров, оказание услуг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 электро-, газо-, тепло-, водоснабжению,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водоотведению, очистке сточных вод и эксплуатации объектов,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используемых для утилизации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(захоронения) ТБО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Гостиничное хозяйство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гостиниц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мест в гостиницах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Банно-прачечное хозяйство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бань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3.7.6.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прачечных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3.7.7.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химчисток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производительность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кг/в смен.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3.7.8.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Ритуальные услуги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организаций, оказывающих ритуальные услуги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3.7.9.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Дорожно-мостовое хозяйство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3.7.10.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Механизированная уборка территорий и озеленение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3.8.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Объекты, сооружения, предназначенные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для уничтожения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биологических отходов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3.9.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Объекты связи и финансового обслуживания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3.9.1.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Отделение связи (почта,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телефон, телеграф)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3.9.2.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Отделение Сбербанка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Операцион-ное место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ТРАНСПОРТНАЯ ИНФРАСТРУКТУРА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протяженность улично-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дорожной сети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км/м2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1,2/9320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протяженность автомобильных дорог муниципального значения вне поселений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км/м2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4.3.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Количество мест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индивидуальных гаражах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машино-мест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мест в многоуровневых гаражах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машино-мест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Количество парковочных мест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 открытых автостоянках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машино-мест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4.6.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Количество парковочных мест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подземных автостоянках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машино-мест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4.7.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Количество парковочных 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 вдоль внутриквартальных проездов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машино-мест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96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4.8.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Протяженность ливневой канализации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-закрытой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-открытой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586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4.9.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Количество очистных сооружений поверхностного стока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штук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ИНЖЕНЕРНАЯ</w:t>
            </w:r>
          </w:p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ИНФРАСТРУКТУРА</w:t>
            </w:r>
          </w:p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И БЛАГОУСТРОЙСТВО</w:t>
            </w:r>
          </w:p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ТЕРРИТОРИИ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Водоснабжение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5.1.1.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Водопотребление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640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0,096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хозяйственно-питьевые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  <w:highlight w:val="red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0,096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производственные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5.1.2.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Вторичное использование воды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5.1.3.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Производительность водозаборных сооружений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0,521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 том числе водозаборов подземных вод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5.1.4.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Среднесуточное водопотребление на 1 человека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л/в сутки на 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 том числе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хозяйственно-питьевые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л/в сутки на 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5.1.5.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Протяженность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0,13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Канализация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5.2.1.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Общее поступление сточных вод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  <w:highlight w:val="red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0,096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  <w:lang w:val="en-US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 xml:space="preserve">Хозяйственно-бытовые </w:t>
            </w:r>
          </w:p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сточные воды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  <w:highlight w:val="red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0,096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Производственные сточные воды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5.2.2.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Производительность очистных сооружений канализации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м3/в сутки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5.2.3.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Протяженность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0,13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Электроснабжение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5.3.1.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Потребность в электроэнергии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млн. кВт ч./в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2,49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производственные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млн. кВт ч./в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коммунально-бытовые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млн. кВт ч./в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  <w:highlight w:val="red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2,49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5.3.2.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 xml:space="preserve">Потребление электроэнергии </w:t>
            </w:r>
          </w:p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1 чел. В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кВт ч.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3886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 том числе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коммунально-бытовые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кВт ч.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3886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5.3.3.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Источники покрытия электронагрузок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МВт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5.3.4.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Протяженность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1,37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Теплоснабжение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5.4.1.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Потребность тепла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Гкал/год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 том числе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производственные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Гкал/год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коммунально-бытовые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Гкал/год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5.4.2.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Производительность централизованных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Гкал/час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5.4.3.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Производительность  локальных источников теплоснабжения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Гкал/час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5.4.4.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Протяженность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5.5.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Связь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5.5.1.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Охват населения телевизионным вещанием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 от населения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5.5.2.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Протяженность сетей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0,2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5.5.3.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Объекты связи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5.5.4.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Обеспеченность населения телефонной сетью общего пользования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тел./1000 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250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5.6.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Газоснабжение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5.6.1.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Удельный вес газа в топливном балансе микрорайона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5.6.2.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Потребление газа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В том числе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производственные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на коммунально-бытовые нужды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м3/год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5.6.3.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Газоснабжение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НАСЕЛЕНИЕ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</w:p>
        </w:tc>
      </w:tr>
      <w:tr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6.1.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9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Общая численность населения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pStyle w:val="affd"/>
              <w:rPr>
                <w:rFonts w:ascii="PT Astra Serif" w:hAnsi="PT Astra Serif"/>
                <w:sz w:val="22"/>
                <w:szCs w:val="22"/>
                <w:highlight w:val="red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640</w:t>
            </w:r>
          </w:p>
        </w:tc>
      </w:tr>
    </w:tbl>
    <w:p>
      <w:pPr>
        <w:jc w:val="both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b/>
          <w:bCs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34" w:right="567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right"/>
    </w:pP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>
    <w:pPr>
      <w:pStyle w:val="a8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1567492"/>
      <w:docPartObj>
        <w:docPartGallery w:val="Page Numbers (Top of Page)"/>
        <w:docPartUnique/>
      </w:docPartObj>
    </w:sdtPr>
    <w:sdtContent>
      <w:p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>
    <w:pPr>
      <w:pStyle w:val="a8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3C46CB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0F375777"/>
    <w:multiLevelType w:val="hybridMultilevel"/>
    <w:tmpl w:val="7B4EF40A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A31AA4"/>
    <w:multiLevelType w:val="hybridMultilevel"/>
    <w:tmpl w:val="5E30EEC8"/>
    <w:lvl w:ilvl="0" w:tplc="217AB76C">
      <w:start w:val="1"/>
      <w:numFmt w:val="bullet"/>
      <w:lvlText w:val=""/>
      <w:lvlJc w:val="left"/>
      <w:pPr>
        <w:ind w:left="2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2" w:hanging="360"/>
      </w:pPr>
      <w:rPr>
        <w:rFonts w:ascii="Wingdings" w:hAnsi="Wingdings" w:hint="default"/>
      </w:rPr>
    </w:lvl>
  </w:abstractNum>
  <w:abstractNum w:abstractNumId="3">
    <w:nsid w:val="1252175E"/>
    <w:multiLevelType w:val="hybridMultilevel"/>
    <w:tmpl w:val="F2D8E9D6"/>
    <w:lvl w:ilvl="0" w:tplc="7E10B65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628F6"/>
    <w:multiLevelType w:val="hybridMultilevel"/>
    <w:tmpl w:val="3CFAD606"/>
    <w:lvl w:ilvl="0" w:tplc="217AB76C">
      <w:start w:val="1"/>
      <w:numFmt w:val="bullet"/>
      <w:lvlText w:val=""/>
      <w:lvlJc w:val="left"/>
      <w:pPr>
        <w:ind w:left="215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872" w:hanging="360"/>
      </w:pPr>
    </w:lvl>
    <w:lvl w:ilvl="2" w:tplc="0419001B" w:tentative="1">
      <w:start w:val="1"/>
      <w:numFmt w:val="lowerRoman"/>
      <w:lvlText w:val="%3."/>
      <w:lvlJc w:val="right"/>
      <w:pPr>
        <w:ind w:left="3592" w:hanging="180"/>
      </w:pPr>
    </w:lvl>
    <w:lvl w:ilvl="3" w:tplc="0419000F" w:tentative="1">
      <w:start w:val="1"/>
      <w:numFmt w:val="decimal"/>
      <w:lvlText w:val="%4."/>
      <w:lvlJc w:val="left"/>
      <w:pPr>
        <w:ind w:left="4312" w:hanging="360"/>
      </w:pPr>
    </w:lvl>
    <w:lvl w:ilvl="4" w:tplc="04190019" w:tentative="1">
      <w:start w:val="1"/>
      <w:numFmt w:val="lowerLetter"/>
      <w:lvlText w:val="%5."/>
      <w:lvlJc w:val="left"/>
      <w:pPr>
        <w:ind w:left="5032" w:hanging="360"/>
      </w:pPr>
    </w:lvl>
    <w:lvl w:ilvl="5" w:tplc="0419001B" w:tentative="1">
      <w:start w:val="1"/>
      <w:numFmt w:val="lowerRoman"/>
      <w:lvlText w:val="%6."/>
      <w:lvlJc w:val="right"/>
      <w:pPr>
        <w:ind w:left="5752" w:hanging="180"/>
      </w:pPr>
    </w:lvl>
    <w:lvl w:ilvl="6" w:tplc="0419000F" w:tentative="1">
      <w:start w:val="1"/>
      <w:numFmt w:val="decimal"/>
      <w:lvlText w:val="%7."/>
      <w:lvlJc w:val="left"/>
      <w:pPr>
        <w:ind w:left="6472" w:hanging="360"/>
      </w:pPr>
    </w:lvl>
    <w:lvl w:ilvl="7" w:tplc="04190019" w:tentative="1">
      <w:start w:val="1"/>
      <w:numFmt w:val="lowerLetter"/>
      <w:lvlText w:val="%8."/>
      <w:lvlJc w:val="left"/>
      <w:pPr>
        <w:ind w:left="7192" w:hanging="360"/>
      </w:pPr>
    </w:lvl>
    <w:lvl w:ilvl="8" w:tplc="0419001B" w:tentative="1">
      <w:start w:val="1"/>
      <w:numFmt w:val="lowerRoman"/>
      <w:lvlText w:val="%9."/>
      <w:lvlJc w:val="right"/>
      <w:pPr>
        <w:ind w:left="7912" w:hanging="180"/>
      </w:pPr>
    </w:lvl>
  </w:abstractNum>
  <w:abstractNum w:abstractNumId="5">
    <w:nsid w:val="2B1E4F7B"/>
    <w:multiLevelType w:val="hybridMultilevel"/>
    <w:tmpl w:val="61D6A46E"/>
    <w:lvl w:ilvl="0" w:tplc="F02C8A7E">
      <w:start w:val="1"/>
      <w:numFmt w:val="bullet"/>
      <w:pStyle w:val="a0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E27F6"/>
    <w:multiLevelType w:val="hybridMultilevel"/>
    <w:tmpl w:val="09242816"/>
    <w:lvl w:ilvl="0" w:tplc="92BCC8CE">
      <w:start w:val="1"/>
      <w:numFmt w:val="decimal"/>
      <w:pStyle w:val="a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D911A42"/>
    <w:multiLevelType w:val="multilevel"/>
    <w:tmpl w:val="4BDEE82C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8">
    <w:nsid w:val="469638E2"/>
    <w:multiLevelType w:val="hybridMultilevel"/>
    <w:tmpl w:val="F90AB42A"/>
    <w:lvl w:ilvl="0" w:tplc="7E2E3E4A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0E7D0B"/>
    <w:multiLevelType w:val="hybridMultilevel"/>
    <w:tmpl w:val="A180482A"/>
    <w:lvl w:ilvl="0" w:tplc="217AB76C">
      <w:start w:val="1"/>
      <w:numFmt w:val="bullet"/>
      <w:lvlText w:val=""/>
      <w:lvlJc w:val="left"/>
      <w:pPr>
        <w:ind w:left="2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2" w:hanging="360"/>
      </w:pPr>
      <w:rPr>
        <w:rFonts w:ascii="Wingdings" w:hAnsi="Wingdings" w:hint="default"/>
      </w:rPr>
    </w:lvl>
  </w:abstractNum>
  <w:abstractNum w:abstractNumId="10">
    <w:nsid w:val="51613F1C"/>
    <w:multiLevelType w:val="hybridMultilevel"/>
    <w:tmpl w:val="B20A9786"/>
    <w:lvl w:ilvl="0" w:tplc="217AB76C">
      <w:start w:val="1"/>
      <w:numFmt w:val="bullet"/>
      <w:lvlText w:val=""/>
      <w:lvlJc w:val="left"/>
      <w:pPr>
        <w:ind w:left="2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2" w:hanging="360"/>
      </w:pPr>
      <w:rPr>
        <w:rFonts w:ascii="Wingdings" w:hAnsi="Wingdings" w:hint="default"/>
      </w:rPr>
    </w:lvl>
  </w:abstractNum>
  <w:abstractNum w:abstractNumId="11">
    <w:nsid w:val="60E33303"/>
    <w:multiLevelType w:val="hybridMultilevel"/>
    <w:tmpl w:val="4F001854"/>
    <w:lvl w:ilvl="0" w:tplc="217AB76C">
      <w:start w:val="1"/>
      <w:numFmt w:val="bullet"/>
      <w:lvlText w:val=""/>
      <w:lvlJc w:val="left"/>
      <w:pPr>
        <w:ind w:left="2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2" w:hanging="360"/>
      </w:pPr>
      <w:rPr>
        <w:rFonts w:ascii="Wingdings" w:hAnsi="Wingdings" w:hint="default"/>
      </w:rPr>
    </w:lvl>
  </w:abstractNum>
  <w:abstractNum w:abstractNumId="12">
    <w:nsid w:val="695C4A9A"/>
    <w:multiLevelType w:val="hybridMultilevel"/>
    <w:tmpl w:val="838AC9C0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9A2ACE"/>
    <w:multiLevelType w:val="hybridMultilevel"/>
    <w:tmpl w:val="9D9AA2C2"/>
    <w:lvl w:ilvl="0" w:tplc="217AB76C">
      <w:start w:val="1"/>
      <w:numFmt w:val="bullet"/>
      <w:lvlText w:val=""/>
      <w:lvlJc w:val="left"/>
      <w:pPr>
        <w:ind w:left="2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2" w:hanging="360"/>
      </w:pPr>
      <w:rPr>
        <w:rFonts w:ascii="Wingdings" w:hAnsi="Wingdings" w:hint="default"/>
      </w:rPr>
    </w:lvl>
  </w:abstractNum>
  <w:abstractNum w:abstractNumId="14">
    <w:nsid w:val="77A24D4B"/>
    <w:multiLevelType w:val="hybridMultilevel"/>
    <w:tmpl w:val="F684D66E"/>
    <w:lvl w:ilvl="0" w:tplc="217AB76C">
      <w:start w:val="1"/>
      <w:numFmt w:val="bullet"/>
      <w:lvlText w:val=""/>
      <w:lvlJc w:val="left"/>
      <w:pPr>
        <w:ind w:left="2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14"/>
  </w:num>
  <w:num w:numId="8">
    <w:abstractNumId w:val="4"/>
  </w:num>
  <w:num w:numId="9">
    <w:abstractNumId w:val="10"/>
  </w:num>
  <w:num w:numId="10">
    <w:abstractNumId w:val="2"/>
  </w:num>
  <w:num w:numId="11">
    <w:abstractNumId w:val="9"/>
  </w:num>
  <w:num w:numId="12">
    <w:abstractNumId w:val="1"/>
  </w:num>
  <w:num w:numId="13">
    <w:abstractNumId w:val="11"/>
  </w:num>
  <w:num w:numId="14">
    <w:abstractNumId w:val="12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77E2CE-6A99-4EF0-A82F-1413DC4B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2"/>
    <w:next w:val="a3"/>
    <w:link w:val="10"/>
    <w:uiPriority w:val="9"/>
    <w:qFormat/>
    <w:pPr>
      <w:ind w:firstLine="0"/>
      <w:outlineLvl w:val="0"/>
    </w:pPr>
  </w:style>
  <w:style w:type="paragraph" w:styleId="2">
    <w:name w:val="heading 2"/>
    <w:aliases w:val="Знак2 Знак, Знак2, Знак2 Знак Знак Знак, Знак2 Знак1,Знак2,Знак2 Знак Знак Знак,Знак2 Знак1,ГЛАВА,Заголовок 2 Знак1,Заголовок 2 Знак Знак,Заголовок 21"/>
    <w:basedOn w:val="a3"/>
    <w:next w:val="a4"/>
    <w:link w:val="20"/>
    <w:uiPriority w:val="9"/>
    <w:qFormat/>
    <w:pPr>
      <w:keepNext/>
      <w:tabs>
        <w:tab w:val="left" w:pos="1134"/>
        <w:tab w:val="left" w:pos="1276"/>
      </w:tabs>
      <w:spacing w:before="180" w:after="60"/>
      <w:ind w:firstLine="567"/>
      <w:outlineLvl w:val="1"/>
    </w:pPr>
    <w:rPr>
      <w:b/>
      <w:bCs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iPriority w:val="9"/>
    <w:unhideWhenUsed/>
    <w:pPr>
      <w:keepNext/>
      <w:keepLines/>
      <w:spacing w:before="200" w:after="120" w:line="276" w:lineRule="auto"/>
      <w:ind w:firstLine="709"/>
      <w:contextualSpacing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0">
    <w:name w:val="heading 4"/>
    <w:basedOn w:val="a3"/>
    <w:next w:val="a3"/>
    <w:link w:val="41"/>
    <w:uiPriority w:val="9"/>
    <w:unhideWhenUsed/>
    <w:qFormat/>
    <w:pPr>
      <w:keepNext/>
      <w:keepLines/>
      <w:spacing w:before="200" w:after="120" w:line="276" w:lineRule="auto"/>
      <w:ind w:firstLine="709"/>
      <w:contextualSpacing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3"/>
    <w:next w:val="a3"/>
    <w:link w:val="50"/>
    <w:qFormat/>
    <w:pPr>
      <w:numPr>
        <w:ilvl w:val="4"/>
        <w:numId w:val="1"/>
      </w:numPr>
      <w:tabs>
        <w:tab w:val="left" w:pos="1701"/>
      </w:tabs>
      <w:spacing w:before="240" w:after="60"/>
      <w:contextualSpacing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link w:val="60"/>
    <w:qFormat/>
    <w:pPr>
      <w:numPr>
        <w:ilvl w:val="5"/>
        <w:numId w:val="1"/>
      </w:numPr>
      <w:spacing w:before="240" w:after="60"/>
      <w:contextualSpacing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numPr>
        <w:ilvl w:val="6"/>
        <w:numId w:val="1"/>
      </w:numPr>
      <w:spacing w:before="240" w:after="60"/>
      <w:contextualSpacing/>
      <w:outlineLvl w:val="6"/>
    </w:pPr>
  </w:style>
  <w:style w:type="paragraph" w:styleId="8">
    <w:name w:val="heading 8"/>
    <w:basedOn w:val="a3"/>
    <w:next w:val="a3"/>
    <w:link w:val="80"/>
    <w:qFormat/>
    <w:pPr>
      <w:numPr>
        <w:ilvl w:val="7"/>
        <w:numId w:val="1"/>
      </w:numPr>
      <w:spacing w:before="240" w:after="60"/>
      <w:contextualSpacing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pPr>
      <w:numPr>
        <w:ilvl w:val="8"/>
        <w:numId w:val="1"/>
      </w:numPr>
      <w:spacing w:before="240" w:after="60"/>
      <w:contextualSpacing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4,Знак4, Знак8,ВерхКолонтитул,Знак8"/>
    <w:basedOn w:val="a3"/>
    <w:link w:val="a9"/>
    <w:uiPriority w:val="99"/>
    <w:qFormat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4 Знак,Знак4 Знак, Знак8 Знак,ВерхКолонтитул Знак,Знак8 Знак"/>
    <w:link w:val="a8"/>
    <w:uiPriority w:val="99"/>
    <w:rPr>
      <w:sz w:val="24"/>
      <w:szCs w:val="24"/>
    </w:rPr>
  </w:style>
  <w:style w:type="paragraph" w:styleId="aa">
    <w:name w:val="footer"/>
    <w:aliases w:val=" Знак, Знак6,Знак,Знак6, Знак14"/>
    <w:basedOn w:val="a3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, Знак6 Знак,Знак Знак,Знак6 Знак, Знак14 Знак"/>
    <w:link w:val="aa"/>
    <w:rPr>
      <w:sz w:val="24"/>
      <w:szCs w:val="24"/>
    </w:rPr>
  </w:style>
  <w:style w:type="character" w:styleId="ac">
    <w:name w:val="page number"/>
    <w:basedOn w:val="a5"/>
  </w:style>
  <w:style w:type="table" w:styleId="ad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">
    <w:name w:val="S_Титульный"/>
    <w:basedOn w:val="a3"/>
    <w:uiPriority w:val="99"/>
    <w:pPr>
      <w:spacing w:line="360" w:lineRule="auto"/>
      <w:ind w:left="3060"/>
      <w:jc w:val="right"/>
    </w:pPr>
    <w:rPr>
      <w:b/>
      <w:caps/>
    </w:rPr>
  </w:style>
  <w:style w:type="paragraph" w:styleId="ae">
    <w:name w:val="Document Map"/>
    <w:basedOn w:val="a3"/>
    <w:link w:val="af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styleId="af2">
    <w:name w:val="Balloon Text"/>
    <w:basedOn w:val="a3"/>
    <w:link w:val="af3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hAnsi="Tahoma" w:cs="Tahoma"/>
      <w:sz w:val="16"/>
      <w:szCs w:val="16"/>
    </w:rPr>
  </w:style>
  <w:style w:type="paragraph" w:customStyle="1" w:styleId="af4">
    <w:name w:val="ТЕКСТ ГРАД"/>
    <w:basedOn w:val="a3"/>
    <w:link w:val="af5"/>
    <w:qFormat/>
    <w:pPr>
      <w:spacing w:line="360" w:lineRule="auto"/>
      <w:ind w:firstLine="709"/>
      <w:jc w:val="both"/>
    </w:pPr>
  </w:style>
  <w:style w:type="character" w:customStyle="1" w:styleId="af5">
    <w:name w:val="ТЕКСТ ГРАД Знак"/>
    <w:link w:val="af4"/>
    <w:rPr>
      <w:sz w:val="24"/>
      <w:szCs w:val="24"/>
    </w:rPr>
  </w:style>
  <w:style w:type="paragraph" w:customStyle="1" w:styleId="af6">
    <w:name w:val="ООО  «Институт Территориального Планирования"/>
    <w:basedOn w:val="a3"/>
    <w:link w:val="af7"/>
    <w:qFormat/>
    <w:pPr>
      <w:spacing w:line="360" w:lineRule="auto"/>
      <w:ind w:left="709"/>
      <w:jc w:val="right"/>
    </w:pPr>
  </w:style>
  <w:style w:type="character" w:customStyle="1" w:styleId="af7">
    <w:name w:val="ООО  «Институт Территориального Планирования Знак"/>
    <w:link w:val="af6"/>
    <w:rPr>
      <w:sz w:val="24"/>
      <w:szCs w:val="24"/>
    </w:rPr>
  </w:style>
  <w:style w:type="paragraph" w:customStyle="1" w:styleId="af8">
    <w:name w:val="Заголовок титульного листа"/>
    <w:basedOn w:val="a3"/>
    <w:next w:val="a3"/>
    <w:semiHidden/>
    <w:pPr>
      <w:spacing w:line="360" w:lineRule="auto"/>
      <w:ind w:left="3060"/>
      <w:jc w:val="right"/>
    </w:pPr>
    <w:rPr>
      <w:b/>
      <w:caps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semiHidden/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List Paragraph"/>
    <w:basedOn w:val="a3"/>
    <w:uiPriority w:val="34"/>
    <w:qFormat/>
    <w:pPr>
      <w:ind w:left="720"/>
      <w:contextualSpacing/>
    </w:pPr>
  </w:style>
  <w:style w:type="paragraph" w:customStyle="1" w:styleId="a4">
    <w:name w:val="Абзац"/>
    <w:basedOn w:val="a3"/>
    <w:link w:val="afd"/>
    <w:qFormat/>
    <w:pPr>
      <w:spacing w:before="60" w:after="60"/>
      <w:ind w:firstLine="567"/>
      <w:jc w:val="both"/>
    </w:pPr>
    <w:rPr>
      <w:rFonts w:ascii="Tahoma" w:hAnsi="Tahoma" w:cs="Tahoma"/>
    </w:rPr>
  </w:style>
  <w:style w:type="character" w:customStyle="1" w:styleId="afd">
    <w:name w:val="Абзац Знак"/>
    <w:link w:val="a4"/>
    <w:rPr>
      <w:rFonts w:ascii="Tahoma" w:hAnsi="Tahoma" w:cs="Tahoma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customStyle="1" w:styleId="11">
    <w:name w:val="текст 1"/>
    <w:basedOn w:val="a3"/>
    <w:next w:val="a3"/>
    <w:pPr>
      <w:ind w:firstLine="540"/>
      <w:jc w:val="both"/>
    </w:pPr>
    <w:rPr>
      <w:sz w:val="20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</w:rPr>
  </w:style>
  <w:style w:type="character" w:customStyle="1" w:styleId="20">
    <w:name w:val="Заголовок 2 Знак"/>
    <w:aliases w:val="Знак2 Знак Знак, Знак2 Знак, Знак2 Знак Знак Знак Знак, Знак2 Знак1 Знак,Знак2 Знак2,Знак2 Знак Знак Знак Знак,Знак2 Знак1 Знак,ГЛАВА Знак,Заголовок 2 Знак1 Знак,Заголовок 2 Знак Знак Знак,Заголовок 21 Знак"/>
    <w:basedOn w:val="a5"/>
    <w:link w:val="2"/>
    <w:uiPriority w:val="9"/>
    <w:rPr>
      <w:b/>
      <w:bCs/>
      <w:iCs/>
      <w:sz w:val="28"/>
      <w:szCs w:val="28"/>
      <w:lang w:val="x-none" w:eastAsia="x-none"/>
    </w:rPr>
  </w:style>
  <w:style w:type="paragraph" w:styleId="12">
    <w:name w:val="toc 1"/>
    <w:aliases w:val="П_Оглавление 1"/>
    <w:basedOn w:val="a3"/>
    <w:next w:val="a3"/>
    <w:uiPriority w:val="39"/>
    <w:qFormat/>
    <w:pPr>
      <w:tabs>
        <w:tab w:val="left" w:pos="440"/>
        <w:tab w:val="right" w:leader="dot" w:pos="9628"/>
      </w:tabs>
      <w:spacing w:before="120" w:after="120"/>
      <w:ind w:left="426" w:hanging="426"/>
    </w:pPr>
    <w:rPr>
      <w:b/>
      <w:bCs/>
      <w:caps/>
      <w:noProof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5"/>
    <w:link w:val="1"/>
    <w:uiPriority w:val="9"/>
    <w:rPr>
      <w:b/>
      <w:bCs/>
      <w:iCs/>
      <w:sz w:val="28"/>
      <w:szCs w:val="28"/>
      <w:lang w:val="x-none" w:eastAsia="x-none"/>
    </w:rPr>
  </w:style>
  <w:style w:type="paragraph" w:customStyle="1" w:styleId="aff">
    <w:name w:val="_абзац"/>
    <w:basedOn w:val="a3"/>
    <w:link w:val="aff0"/>
    <w:qFormat/>
    <w:pPr>
      <w:spacing w:line="276" w:lineRule="auto"/>
      <w:ind w:firstLine="709"/>
      <w:jc w:val="both"/>
    </w:pPr>
    <w:rPr>
      <w:lang w:val="x-none" w:eastAsia="x-none"/>
    </w:rPr>
  </w:style>
  <w:style w:type="character" w:customStyle="1" w:styleId="aff0">
    <w:name w:val="_абзац Знак"/>
    <w:link w:val="aff"/>
    <w:rPr>
      <w:sz w:val="24"/>
      <w:szCs w:val="24"/>
      <w:lang w:val="x-none" w:eastAsia="x-none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Pr>
      <w:b/>
      <w:bCs/>
    </w:rPr>
  </w:style>
  <w:style w:type="paragraph" w:customStyle="1" w:styleId="S0">
    <w:name w:val="S_Обычный"/>
    <w:basedOn w:val="a3"/>
    <w:link w:val="S1"/>
    <w:qFormat/>
    <w:pPr>
      <w:ind w:firstLine="737"/>
      <w:jc w:val="both"/>
    </w:pPr>
    <w:rPr>
      <w:lang w:val="x-none" w:eastAsia="ar-SA"/>
    </w:rPr>
  </w:style>
  <w:style w:type="character" w:customStyle="1" w:styleId="S1">
    <w:name w:val="S_Обычный Знак"/>
    <w:link w:val="S0"/>
    <w:rPr>
      <w:sz w:val="24"/>
      <w:szCs w:val="24"/>
      <w:lang w:val="x-none" w:eastAsia="ar-SA"/>
    </w:rPr>
  </w:style>
  <w:style w:type="paragraph" w:styleId="31">
    <w:name w:val="toc 3"/>
    <w:aliases w:val="П_Оглавление 3"/>
    <w:basedOn w:val="a3"/>
    <w:next w:val="a3"/>
    <w:autoRedefine/>
    <w:uiPriority w:val="39"/>
    <w:unhideWhenUsed/>
    <w:qFormat/>
    <w:pPr>
      <w:spacing w:after="100"/>
      <w:ind w:left="480"/>
    </w:pPr>
  </w:style>
  <w:style w:type="paragraph" w:styleId="21">
    <w:name w:val="toc 2"/>
    <w:aliases w:val="П_Оглавление 2"/>
    <w:basedOn w:val="a3"/>
    <w:next w:val="a3"/>
    <w:autoRedefine/>
    <w:uiPriority w:val="39"/>
    <w:unhideWhenUsed/>
    <w:qFormat/>
    <w:pPr>
      <w:spacing w:after="100"/>
      <w:ind w:left="240"/>
    </w:pPr>
  </w:style>
  <w:style w:type="character" w:customStyle="1" w:styleId="30">
    <w:name w:val="Заголовок 3 Знак"/>
    <w:basedOn w:val="a5"/>
    <w:link w:val="3"/>
    <w:uiPriority w:val="9"/>
    <w:rPr>
      <w:rFonts w:ascii="Cambria" w:hAnsi="Cambria"/>
      <w:b/>
      <w:bCs/>
      <w:color w:val="4F81BD"/>
      <w:sz w:val="22"/>
      <w:szCs w:val="22"/>
    </w:rPr>
  </w:style>
  <w:style w:type="character" w:customStyle="1" w:styleId="41">
    <w:name w:val="Заголовок 4 Знак"/>
    <w:basedOn w:val="a5"/>
    <w:link w:val="40"/>
    <w:uiPriority w:val="9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5"/>
    <w:link w:val="5"/>
    <w:rPr>
      <w:b/>
      <w:bCs/>
      <w:iCs/>
      <w:sz w:val="22"/>
      <w:szCs w:val="22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  <w:szCs w:val="24"/>
    </w:rPr>
  </w:style>
  <w:style w:type="character" w:customStyle="1" w:styleId="80">
    <w:name w:val="Заголовок 8 Знак"/>
    <w:basedOn w:val="a5"/>
    <w:link w:val="8"/>
    <w:rPr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Pr>
      <w:rFonts w:ascii="Arial" w:hAnsi="Arial" w:cs="Arial"/>
      <w:sz w:val="22"/>
      <w:szCs w:val="22"/>
    </w:rPr>
  </w:style>
  <w:style w:type="paragraph" w:styleId="aff3">
    <w:name w:val="Body Text"/>
    <w:basedOn w:val="a3"/>
    <w:link w:val="aff4"/>
    <w:uiPriority w:val="99"/>
    <w:unhideWhenUsed/>
    <w:pPr>
      <w:spacing w:after="120" w:line="276" w:lineRule="auto"/>
      <w:ind w:firstLine="709"/>
      <w:contextualSpacing/>
    </w:pPr>
    <w:rPr>
      <w:rFonts w:ascii="PT Sans" w:hAnsi="PT Sans"/>
      <w:sz w:val="22"/>
      <w:szCs w:val="22"/>
    </w:rPr>
  </w:style>
  <w:style w:type="character" w:customStyle="1" w:styleId="aff4">
    <w:name w:val="Основной текст Знак"/>
    <w:basedOn w:val="a5"/>
    <w:link w:val="aff3"/>
    <w:uiPriority w:val="99"/>
    <w:rPr>
      <w:rFonts w:ascii="PT Sans" w:hAnsi="PT Sans"/>
      <w:sz w:val="22"/>
      <w:szCs w:val="22"/>
    </w:rPr>
  </w:style>
  <w:style w:type="paragraph" w:customStyle="1" w:styleId="13">
    <w:name w:val="ГП_Глава 1"/>
    <w:next w:val="a3"/>
    <w:qFormat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0">
    <w:name w:val="ГП_Маркированный"/>
    <w:qFormat/>
    <w:pPr>
      <w:numPr>
        <w:numId w:val="2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1">
    <w:name w:val="ГП_Нумерованный"/>
    <w:qFormat/>
    <w:pPr>
      <w:numPr>
        <w:numId w:val="3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5">
    <w:name w:val="ГП_Обычный"/>
    <w:link w:val="aff6"/>
    <w:qFormat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character" w:customStyle="1" w:styleId="aff6">
    <w:name w:val="ГП_Обычный Знак"/>
    <w:basedOn w:val="a5"/>
    <w:link w:val="aff5"/>
    <w:rPr>
      <w:rFonts w:ascii="PT Sans" w:hAnsi="PT Sans" w:cs="Arial"/>
      <w:sz w:val="24"/>
      <w:szCs w:val="24"/>
    </w:rPr>
  </w:style>
  <w:style w:type="paragraph" w:customStyle="1" w:styleId="32">
    <w:name w:val="ГП_Подстатья 3"/>
    <w:next w:val="aff5"/>
    <w:link w:val="33"/>
    <w:qFormat/>
    <w:pPr>
      <w:keepNext/>
      <w:keepLines/>
      <w:suppressAutoHyphens/>
      <w:spacing w:after="120"/>
      <w:jc w:val="both"/>
      <w:outlineLvl w:val="2"/>
    </w:pPr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character" w:customStyle="1" w:styleId="33">
    <w:name w:val="ГП_Подстатья 3 Знак"/>
    <w:basedOn w:val="a5"/>
    <w:link w:val="32"/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paragraph" w:customStyle="1" w:styleId="42">
    <w:name w:val="ГП_Пункт 4"/>
    <w:next w:val="aff5"/>
    <w:link w:val="43"/>
    <w:qFormat/>
    <w:pPr>
      <w:keepNext/>
      <w:suppressAutoHyphens/>
      <w:spacing w:before="120"/>
      <w:outlineLvl w:val="3"/>
    </w:pPr>
    <w:rPr>
      <w:rFonts w:ascii="PT Sans" w:eastAsia="Calibri" w:hAnsi="PT Sans" w:cs="Tahoma"/>
      <w:b/>
      <w:i/>
      <w:sz w:val="24"/>
      <w:szCs w:val="24"/>
    </w:rPr>
  </w:style>
  <w:style w:type="character" w:customStyle="1" w:styleId="43">
    <w:name w:val="ГП_Пункт 4 Знак"/>
    <w:basedOn w:val="a5"/>
    <w:link w:val="42"/>
    <w:rPr>
      <w:rFonts w:ascii="PT Sans" w:eastAsia="Calibri" w:hAnsi="PT Sans" w:cs="Tahoma"/>
      <w:b/>
      <w:i/>
      <w:sz w:val="24"/>
      <w:szCs w:val="24"/>
    </w:rPr>
  </w:style>
  <w:style w:type="paragraph" w:customStyle="1" w:styleId="aff7">
    <w:name w:val="ГП_Рисунок название"/>
    <w:next w:val="aff5"/>
    <w:link w:val="aff8"/>
    <w:qFormat/>
    <w:pPr>
      <w:keepNext/>
      <w:suppressAutoHyphens/>
      <w:spacing w:before="120" w:after="120"/>
      <w:jc w:val="center"/>
      <w:outlineLvl w:val="3"/>
    </w:pPr>
    <w:rPr>
      <w:rFonts w:ascii="PT Sans" w:hAnsi="PT Sans" w:cs="Arial"/>
      <w:sz w:val="24"/>
      <w:szCs w:val="24"/>
    </w:rPr>
  </w:style>
  <w:style w:type="character" w:customStyle="1" w:styleId="aff8">
    <w:name w:val="ГП_Рисунок название Знак"/>
    <w:basedOn w:val="a5"/>
    <w:link w:val="aff7"/>
    <w:rPr>
      <w:rFonts w:ascii="PT Sans" w:hAnsi="PT Sans" w:cs="Arial"/>
      <w:sz w:val="24"/>
      <w:szCs w:val="24"/>
    </w:rPr>
  </w:style>
  <w:style w:type="paragraph" w:customStyle="1" w:styleId="22">
    <w:name w:val="ГП_Статья 2"/>
    <w:next w:val="32"/>
    <w:qFormat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14">
    <w:name w:val="ГП_Т1"/>
    <w:next w:val="a3"/>
    <w:qFormat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3">
    <w:name w:val="ГП_Т2"/>
    <w:next w:val="a3"/>
    <w:qFormat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4">
    <w:name w:val="ГП_Т3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4">
    <w:name w:val="ГП_Т4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5"/>
    <w:qFormat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9">
    <w:name w:val="ГП_Таблица влево"/>
    <w:next w:val="aff5"/>
    <w:qFormat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a">
    <w:name w:val="ГП_Таблица вправо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b">
    <w:name w:val="ГП_Таблица название"/>
    <w:next w:val="aff9"/>
    <w:link w:val="affc"/>
    <w:qFormat/>
    <w:pPr>
      <w:keepNext/>
      <w:spacing w:before="120" w:after="120"/>
      <w:jc w:val="right"/>
      <w:outlineLvl w:val="3"/>
    </w:pPr>
    <w:rPr>
      <w:rFonts w:ascii="PT Sans" w:hAnsi="PT Sans" w:cs="Arial"/>
      <w:sz w:val="24"/>
      <w:szCs w:val="24"/>
    </w:rPr>
  </w:style>
  <w:style w:type="character" w:customStyle="1" w:styleId="affc">
    <w:name w:val="ГП_Таблица название Знак"/>
    <w:basedOn w:val="a5"/>
    <w:link w:val="affb"/>
    <w:rPr>
      <w:rFonts w:ascii="PT Sans" w:hAnsi="PT Sans" w:cs="Arial"/>
      <w:sz w:val="24"/>
      <w:szCs w:val="24"/>
    </w:rPr>
  </w:style>
  <w:style w:type="paragraph" w:customStyle="1" w:styleId="affd">
    <w:name w:val="ГП_Таблица центр"/>
    <w:next w:val="aff5"/>
    <w:qFormat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e">
    <w:name w:val="ГП_Таблица шапка"/>
    <w:next w:val="aff9"/>
    <w:link w:val="afff"/>
    <w:qFormat/>
    <w:pPr>
      <w:keepLines/>
      <w:jc w:val="center"/>
    </w:pPr>
    <w:rPr>
      <w:rFonts w:ascii="PT Sans" w:eastAsia="Calibri" w:hAnsi="PT Sans" w:cs="Tahoma"/>
      <w:b/>
      <w:sz w:val="24"/>
      <w:szCs w:val="24"/>
    </w:rPr>
  </w:style>
  <w:style w:type="character" w:customStyle="1" w:styleId="afff">
    <w:name w:val="ГП_Таблица шапка Знак"/>
    <w:basedOn w:val="a5"/>
    <w:link w:val="affe"/>
    <w:rPr>
      <w:rFonts w:ascii="PT Sans" w:eastAsia="Calibri" w:hAnsi="PT Sans" w:cs="Tahoma"/>
      <w:b/>
      <w:sz w:val="24"/>
      <w:szCs w:val="24"/>
    </w:rPr>
  </w:style>
  <w:style w:type="paragraph" w:customStyle="1" w:styleId="afff0">
    <w:name w:val="ГП_Таблица ширина"/>
    <w:qFormat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styleId="afff1">
    <w:name w:val="TOC Heading"/>
    <w:basedOn w:val="1"/>
    <w:next w:val="a3"/>
    <w:uiPriority w:val="39"/>
    <w:unhideWhenUsed/>
    <w:qFormat/>
    <w:pPr>
      <w:keepLines/>
      <w:tabs>
        <w:tab w:val="clear" w:pos="1134"/>
        <w:tab w:val="clear" w:pos="1276"/>
      </w:tabs>
      <w:spacing w:before="480" w:after="0" w:line="276" w:lineRule="auto"/>
      <w:jc w:val="center"/>
      <w:outlineLvl w:val="9"/>
    </w:pPr>
    <w:rPr>
      <w:rFonts w:ascii="PT Sans" w:eastAsiaTheme="majorEastAsia" w:hAnsi="PT Sans" w:cstheme="majorBidi"/>
      <w:iCs w:val="0"/>
      <w:caps/>
      <w:color w:val="000000" w:themeColor="text1"/>
      <w:lang w:val="ru-RU" w:eastAsia="ru-RU"/>
    </w:rPr>
  </w:style>
  <w:style w:type="paragraph" w:customStyle="1" w:styleId="afff2">
    <w:name w:val="Н_Глава"/>
    <w:next w:val="a3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eastAsiaTheme="minorHAnsi" w:hAnsi="PT Sans" w:cs="Arial"/>
      <w:b/>
      <w:iCs/>
      <w:sz w:val="24"/>
      <w:szCs w:val="28"/>
      <w:lang w:eastAsia="ar-SA"/>
    </w:rPr>
  </w:style>
  <w:style w:type="paragraph" w:customStyle="1" w:styleId="a2">
    <w:name w:val="Н_Маркированный"/>
    <w:next w:val="a3"/>
    <w:pPr>
      <w:numPr>
        <w:numId w:val="4"/>
      </w:numPr>
      <w:spacing w:after="120"/>
      <w:contextualSpacing/>
      <w:jc w:val="both"/>
    </w:pPr>
    <w:rPr>
      <w:rFonts w:ascii="PT Sans" w:hAnsi="PT Sans"/>
      <w:sz w:val="24"/>
    </w:rPr>
  </w:style>
  <w:style w:type="paragraph" w:customStyle="1" w:styleId="afff3">
    <w:name w:val="Н_Название таблицы"/>
    <w:autoRedefine/>
    <w:pPr>
      <w:keepNext/>
      <w:keepLines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4">
    <w:name w:val="Н_Обычный"/>
    <w:pPr>
      <w:ind w:firstLine="709"/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customStyle="1" w:styleId="afff5">
    <w:name w:val="Н_Приложение"/>
    <w:next w:val="afff4"/>
    <w:pPr>
      <w:keepNext/>
      <w:widowControl w:val="0"/>
      <w:jc w:val="right"/>
      <w:outlineLvl w:val="2"/>
    </w:pPr>
    <w:rPr>
      <w:rFonts w:ascii="PT Sans" w:eastAsiaTheme="minorEastAsia" w:hAnsi="PT Sans" w:cs="Tahoma"/>
      <w:sz w:val="28"/>
      <w:szCs w:val="28"/>
    </w:rPr>
  </w:style>
  <w:style w:type="paragraph" w:customStyle="1" w:styleId="afff6">
    <w:name w:val="Н_Раздел"/>
    <w:next w:val="afff2"/>
    <w:pPr>
      <w:pageBreakBefore/>
      <w:suppressAutoHyphens/>
      <w:spacing w:after="120"/>
      <w:jc w:val="both"/>
      <w:outlineLvl w:val="0"/>
    </w:pPr>
    <w:rPr>
      <w:rFonts w:ascii="PT Sans" w:eastAsiaTheme="majorEastAsia" w:hAnsi="PT Sans" w:cstheme="majorBidi"/>
      <w:b/>
      <w:bCs/>
      <w:sz w:val="28"/>
      <w:szCs w:val="28"/>
    </w:rPr>
  </w:style>
  <w:style w:type="paragraph" w:customStyle="1" w:styleId="15">
    <w:name w:val="Н_Т1"/>
    <w:next w:val="a3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4">
    <w:name w:val="Н_Т2"/>
    <w:next w:val="a3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5">
    <w:name w:val="Н_Т3"/>
    <w:next w:val="afff4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7">
    <w:name w:val="Н_Таблица"/>
    <w:next w:val="afff4"/>
    <w:pPr>
      <w:contextualSpacing/>
    </w:pPr>
    <w:rPr>
      <w:rFonts w:ascii="PT Sans" w:eastAsiaTheme="minorEastAsia" w:hAnsi="PT Sans" w:cs="Tahoma"/>
      <w:sz w:val="24"/>
    </w:rPr>
  </w:style>
  <w:style w:type="paragraph" w:customStyle="1" w:styleId="afff8">
    <w:name w:val="Н_Таблица название"/>
    <w:next w:val="afff7"/>
    <w:autoRedefine/>
    <w:pPr>
      <w:keepNext/>
      <w:keepLines/>
      <w:spacing w:after="120"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9">
    <w:name w:val="Н_Таблица шапка"/>
    <w:next w:val="afff4"/>
    <w:pPr>
      <w:jc w:val="center"/>
    </w:pPr>
    <w:rPr>
      <w:rFonts w:ascii="PT Sans" w:eastAsiaTheme="minorEastAsia" w:hAnsi="PT Sans" w:cs="Tahoma"/>
      <w:b/>
      <w:sz w:val="24"/>
    </w:rPr>
  </w:style>
  <w:style w:type="paragraph" w:customStyle="1" w:styleId="a">
    <w:name w:val="Н_Часть"/>
    <w:next w:val="afff4"/>
    <w:pPr>
      <w:numPr>
        <w:numId w:val="5"/>
      </w:numPr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styleId="4">
    <w:name w:val="List Number 4"/>
    <w:basedOn w:val="a3"/>
    <w:unhideWhenUsed/>
    <w:pPr>
      <w:numPr>
        <w:numId w:val="6"/>
      </w:numPr>
      <w:spacing w:after="120" w:line="276" w:lineRule="auto"/>
      <w:contextualSpacing/>
    </w:pPr>
    <w:rPr>
      <w:rFonts w:ascii="PT Sans" w:hAnsi="PT Sans"/>
      <w:sz w:val="22"/>
      <w:szCs w:val="22"/>
    </w:rPr>
  </w:style>
  <w:style w:type="paragraph" w:customStyle="1" w:styleId="afffa">
    <w:name w:val="П_Глава"/>
    <w:next w:val="a3"/>
    <w:qFormat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b">
    <w:name w:val="П_Маркированный"/>
    <w:next w:val="a3"/>
    <w:link w:val="afffc"/>
    <w:qFormat/>
    <w:pPr>
      <w:kinsoku w:val="0"/>
      <w:overflowPunct w:val="0"/>
      <w:autoSpaceDE w:val="0"/>
      <w:autoSpaceDN w:val="0"/>
      <w:ind w:left="1671" w:hanging="360"/>
    </w:pPr>
    <w:rPr>
      <w:rFonts w:ascii="PT Sans" w:eastAsiaTheme="minorEastAsia" w:hAnsi="PT Sans" w:cstheme="minorBidi"/>
      <w:sz w:val="24"/>
      <w:szCs w:val="24"/>
      <w:lang w:eastAsia="en-US"/>
    </w:rPr>
  </w:style>
  <w:style w:type="character" w:customStyle="1" w:styleId="afffc">
    <w:name w:val="П_Маркированный Знак"/>
    <w:basedOn w:val="a5"/>
    <w:link w:val="afffb"/>
    <w:rPr>
      <w:rFonts w:ascii="PT Sans" w:eastAsiaTheme="minorEastAsia" w:hAnsi="PT Sans" w:cstheme="minorBidi"/>
      <w:sz w:val="24"/>
      <w:szCs w:val="24"/>
      <w:lang w:eastAsia="en-US"/>
    </w:rPr>
  </w:style>
  <w:style w:type="paragraph" w:customStyle="1" w:styleId="afffd">
    <w:name w:val="П_Обычный"/>
    <w:qFormat/>
    <w:pPr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e">
    <w:name w:val="П_Приложение заголовок"/>
    <w:next w:val="afffd"/>
    <w:link w:val="affff"/>
    <w:qFormat/>
    <w:pPr>
      <w:autoSpaceDE w:val="0"/>
      <w:autoSpaceDN w:val="0"/>
      <w:adjustRightInd w:val="0"/>
      <w:spacing w:before="240" w:after="200"/>
      <w:jc w:val="center"/>
    </w:pPr>
    <w:rPr>
      <w:rFonts w:ascii="PT Sans" w:eastAsia="Calibri" w:hAnsi="PT Sans" w:cs="Tahoma"/>
      <w:b/>
      <w:caps/>
      <w:sz w:val="24"/>
      <w:szCs w:val="24"/>
    </w:rPr>
  </w:style>
  <w:style w:type="character" w:customStyle="1" w:styleId="affff">
    <w:name w:val="П_Приложение заголовок Знак"/>
    <w:basedOn w:val="a5"/>
    <w:link w:val="afffe"/>
    <w:rPr>
      <w:rFonts w:ascii="PT Sans" w:eastAsia="Calibri" w:hAnsi="PT Sans" w:cs="Tahoma"/>
      <w:b/>
      <w:caps/>
      <w:sz w:val="24"/>
      <w:szCs w:val="24"/>
    </w:rPr>
  </w:style>
  <w:style w:type="paragraph" w:customStyle="1" w:styleId="affff0">
    <w:name w:val="П_Приложение номер"/>
    <w:next w:val="afffd"/>
    <w:link w:val="affff1"/>
    <w:qFormat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 w:cs="Tahoma"/>
      <w:b/>
      <w:bCs/>
      <w:color w:val="000000" w:themeColor="text1"/>
      <w:sz w:val="28"/>
      <w:szCs w:val="28"/>
      <w:lang w:val="x-none" w:eastAsia="x-none"/>
    </w:rPr>
  </w:style>
  <w:style w:type="character" w:customStyle="1" w:styleId="affff1">
    <w:name w:val="П_Приложение номер Знак"/>
    <w:basedOn w:val="10"/>
    <w:link w:val="affff0"/>
    <w:rPr>
      <w:rFonts w:ascii="PT Sans" w:hAnsi="PT Sans" w:cs="Tahoma"/>
      <w:b/>
      <w:bCs/>
      <w:iCs w:val="0"/>
      <w:color w:val="000000" w:themeColor="text1"/>
      <w:sz w:val="28"/>
      <w:szCs w:val="28"/>
      <w:lang w:val="x-none" w:eastAsia="x-none"/>
    </w:rPr>
  </w:style>
  <w:style w:type="paragraph" w:customStyle="1" w:styleId="affff2">
    <w:name w:val="П_Пункт"/>
    <w:link w:val="affff3"/>
    <w:autoRedefine/>
    <w:qFormat/>
    <w:pPr>
      <w:tabs>
        <w:tab w:val="left" w:pos="1134"/>
      </w:tabs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character" w:customStyle="1" w:styleId="affff3">
    <w:name w:val="П_Пункт Знак"/>
    <w:link w:val="affff2"/>
    <w:rPr>
      <w:rFonts w:ascii="PT Sans" w:hAnsi="PT Sans" w:cs="Tahoma"/>
      <w:sz w:val="24"/>
      <w:szCs w:val="24"/>
      <w:lang w:eastAsia="en-US"/>
    </w:rPr>
  </w:style>
  <w:style w:type="paragraph" w:customStyle="1" w:styleId="affff4">
    <w:name w:val="П_Статья"/>
    <w:next w:val="afffd"/>
    <w:link w:val="affff5"/>
    <w:qFormat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 w:cs="Tahoma"/>
      <w:b/>
      <w:sz w:val="24"/>
      <w:szCs w:val="24"/>
    </w:rPr>
  </w:style>
  <w:style w:type="character" w:customStyle="1" w:styleId="affff5">
    <w:name w:val="П_Статья Знак"/>
    <w:link w:val="affff4"/>
    <w:rPr>
      <w:rFonts w:ascii="PT Sans" w:hAnsi="PT Sans" w:cs="Tahoma"/>
      <w:b/>
      <w:sz w:val="24"/>
      <w:szCs w:val="24"/>
    </w:rPr>
  </w:style>
  <w:style w:type="paragraph" w:customStyle="1" w:styleId="16">
    <w:name w:val="П_Т1"/>
    <w:next w:val="a3"/>
    <w:qFormat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5">
    <w:name w:val="П_Т2"/>
    <w:next w:val="a3"/>
    <w:qFormat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6">
    <w:name w:val="П_Т3"/>
    <w:next w:val="afffd"/>
    <w:qFormat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6">
    <w:name w:val="П_Таблица"/>
    <w:next w:val="afffd"/>
    <w:link w:val="affff7"/>
    <w:qFormat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7">
    <w:name w:val="П_Таблица Знак"/>
    <w:basedOn w:val="a5"/>
    <w:link w:val="affff6"/>
    <w:rPr>
      <w:rFonts w:ascii="PT Sans" w:hAnsi="PT Sans"/>
      <w:sz w:val="24"/>
      <w:szCs w:val="24"/>
      <w:lang w:eastAsia="en-US"/>
    </w:rPr>
  </w:style>
  <w:style w:type="paragraph" w:customStyle="1" w:styleId="affff8">
    <w:name w:val="П_Таблица шапка"/>
    <w:next w:val="affff6"/>
    <w:link w:val="affff9"/>
    <w:qFormat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9">
    <w:name w:val="П_Таблица шапка Знак"/>
    <w:basedOn w:val="a5"/>
    <w:link w:val="affff8"/>
    <w:rPr>
      <w:rFonts w:ascii="PT Sans" w:hAnsi="PT Sans"/>
      <w:b/>
      <w:sz w:val="24"/>
      <w:szCs w:val="24"/>
      <w:lang w:eastAsia="en-US"/>
    </w:rPr>
  </w:style>
  <w:style w:type="paragraph" w:customStyle="1" w:styleId="affffa">
    <w:name w:val="П_Часть"/>
    <w:next w:val="afffd"/>
    <w:qFormat/>
    <w:pPr>
      <w:spacing w:line="276" w:lineRule="auto"/>
      <w:ind w:firstLine="709"/>
      <w:contextualSpacing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fb">
    <w:name w:val="Сжат"/>
    <w:basedOn w:val="a3"/>
    <w:qFormat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paragraph" w:styleId="affffc">
    <w:name w:val="List"/>
    <w:basedOn w:val="a3"/>
    <w:semiHidden/>
    <w:unhideWhenUsed/>
    <w:pPr>
      <w:spacing w:after="120" w:line="276" w:lineRule="auto"/>
      <w:ind w:left="283" w:hanging="283"/>
      <w:contextualSpacing/>
    </w:pPr>
    <w:rPr>
      <w:rFonts w:ascii="PT Sans" w:hAnsi="PT Sans"/>
      <w:sz w:val="22"/>
      <w:szCs w:val="22"/>
    </w:rPr>
  </w:style>
  <w:style w:type="table" w:customStyle="1" w:styleId="17">
    <w:name w:val="Сетка таблицы светлая1"/>
    <w:basedOn w:val="a6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6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8">
    <w:name w:val="Нет списка1"/>
    <w:next w:val="a7"/>
    <w:uiPriority w:val="99"/>
    <w:semiHidden/>
    <w:unhideWhenUsed/>
  </w:style>
  <w:style w:type="character" w:customStyle="1" w:styleId="TimesNewRoman5pt0pt">
    <w:name w:val="Основной текст + Times New Roman;5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TrebuchetMS4pt0pt">
    <w:name w:val="Основной текст + Trebuchet MS;4 pt;Интервал 0 pt"/>
    <w:basedOn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TimesNewRoman5pt-1pt150">
    <w:name w:val="Основной текст + Times New Roman;5 pt;Курсив;Интервал -1 pt;Масштаб 150%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50"/>
      <w:position w:val="0"/>
      <w:sz w:val="10"/>
      <w:szCs w:val="10"/>
      <w:u w:val="none"/>
      <w:lang w:val="en-US" w:eastAsia="en-US" w:bidi="en-US"/>
    </w:rPr>
  </w:style>
  <w:style w:type="character" w:customStyle="1" w:styleId="Sylfaen8pt0pt">
    <w:name w:val="Основной текст + Sylfaen;8 pt;Интервал 0 pt"/>
    <w:basedOn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ranklinGothicHeavy55pt0pt150">
    <w:name w:val="Основной текст + Franklin Gothic Heavy;5.5 pt;Курсив;Интервал 0 pt;Масштаб 150%"/>
    <w:basedOn w:val="a5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19"/>
      <w:w w:val="150"/>
      <w:position w:val="0"/>
      <w:sz w:val="11"/>
      <w:szCs w:val="11"/>
      <w:u w:val="none"/>
      <w:lang w:val="ru-RU" w:eastAsia="ru-RU" w:bidi="ru-RU"/>
    </w:rPr>
  </w:style>
  <w:style w:type="character" w:customStyle="1" w:styleId="Georgia7pt-1pt">
    <w:name w:val="Основной текст + Georgia;7 pt;Курсив;Интервал -1 pt"/>
    <w:basedOn w:val="a5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-27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FranklinGothicHeavy4pt0pt">
    <w:name w:val="Основной текст + Franklin Gothic Heavy;4 pt;Интервал 0 pt"/>
    <w:basedOn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0pt0pt">
    <w:name w:val="Основной текст + 10 pt;Интервал 0 pt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5pt">
    <w:name w:val="Колонтитул + 11.5 pt;Полужирный"/>
    <w:basedOn w:val="a5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13pt0pt">
    <w:name w:val="Колонтитул + 13 pt;Интервал 0 pt"/>
    <w:basedOn w:val="a5"/>
    <w:rPr>
      <w:color w:val="000000"/>
      <w:spacing w:val="-10"/>
      <w:w w:val="100"/>
      <w:position w:val="0"/>
      <w:sz w:val="26"/>
      <w:szCs w:val="26"/>
      <w:lang w:val="ru-RU" w:eastAsia="ru-RU" w:bidi="ru-RU"/>
    </w:rPr>
  </w:style>
  <w:style w:type="character" w:customStyle="1" w:styleId="affffd">
    <w:name w:val="Основной текст + Полужирный;Курсив"/>
    <w:basedOn w:val="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2pt">
    <w:name w:val="Основной текст + 12 pt;Полужирный"/>
    <w:basedOn w:val="a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5pt">
    <w:name w:val="Основной текст + 9.5 pt;Полужирный"/>
    <w:basedOn w:val="a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5pt0">
    <w:name w:val="Колонтитул + 9.5 pt;Полужирный"/>
    <w:basedOn w:val="a5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15pt0pt">
    <w:name w:val="Колонтитул + 11.5 pt;Интервал 0 pt"/>
    <w:basedOn w:val="a5"/>
    <w:rPr>
      <w:color w:val="000000"/>
      <w:spacing w:val="-10"/>
      <w:w w:val="100"/>
      <w:position w:val="0"/>
      <w:sz w:val="23"/>
      <w:szCs w:val="23"/>
      <w:lang w:val="ru-RU" w:eastAsia="ru-RU" w:bidi="ru-RU"/>
    </w:rPr>
  </w:style>
  <w:style w:type="character" w:customStyle="1" w:styleId="85pt0pt">
    <w:name w:val="Колонтитул + 8.5 pt;Полужирный;Интервал 0 pt"/>
    <w:basedOn w:val="a5"/>
    <w:rPr>
      <w:b/>
      <w:bCs/>
      <w:color w:val="000000"/>
      <w:spacing w:val="10"/>
      <w:w w:val="100"/>
      <w:position w:val="0"/>
      <w:sz w:val="17"/>
      <w:szCs w:val="17"/>
      <w:lang w:val="ru-RU" w:eastAsia="ru-RU" w:bidi="ru-RU"/>
    </w:rPr>
  </w:style>
  <w:style w:type="character" w:customStyle="1" w:styleId="8Arial7pt0pt">
    <w:name w:val="Основной текст (8) + Arial;7 pt;Курсив;Интервал 0 pt"/>
    <w:basedOn w:val="a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10pt">
    <w:name w:val="Основной текст (3) + 10 pt;Не полужирный;Курсив"/>
    <w:basedOn w:val="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11pt">
    <w:name w:val="Основной текст + Times New Roman;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imesNewRoman95pt">
    <w:name w:val="Основной текст + Times New Roman;9.5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Verdana65pt">
    <w:name w:val="Основной текст + Verdana;6.5 pt;Полужирный"/>
    <w:basedOn w:val="a5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Candara105pt">
    <w:name w:val="Основной текст (8) + Candara;10.5 pt"/>
    <w:basedOn w:val="a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5FranklinGothicHeavy95pt1pt">
    <w:name w:val="Основной текст (15) + Franklin Gothic Heavy;9.5 pt;Не полужирный;Курсив;Интервал 1 pt"/>
    <w:basedOn w:val="a5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Arial115pt">
    <w:name w:val="Основной текст (15) + Arial;11.5 pt;Не полужирный"/>
    <w:basedOn w:val="a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customStyle="1" w:styleId="19">
    <w:name w:val="Сетка таблицы1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2">
    <w:name w:val="Table Grid 5"/>
    <w:basedOn w:val="a6"/>
    <w:rPr>
      <w:rFonts w:eastAsia="SimSu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3;&#1088;&#1072;&#1076;&#1086;&#1089;&#1090;&#1088;&#1086;&#1080;&#1090;&#1077;&#1083;&#1100;&#1085;&#1099;&#1077;%20&#1088;&#1077;&#1075;&#1083;&#1072;&#1084;&#1077;&#1085;&#1090;&#1099;\Reglament\ReglamentMK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7C00C-22A3-4020-B0DD-83C7161E3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073AC-EBF7-4D65-B488-25CA9E80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E8327-38AE-4E27-9347-A8D1AF50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F82D63-7CBC-475C-972F-CA4030ACE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ReglamentMKR</Template>
  <TotalTime>120</TotalTime>
  <Pages>1</Pages>
  <Words>3002</Words>
  <Characters>17118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>град</Company>
  <LinksUpToDate>false</LinksUpToDate>
  <CharactersWithSpaces>20080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nshlikova</dc:creator>
  <cp:lastModifiedBy>Фадеева Алена Михайловна</cp:lastModifiedBy>
  <cp:revision>24</cp:revision>
  <cp:lastPrinted>2021-04-27T10:29:00Z</cp:lastPrinted>
  <dcterms:created xsi:type="dcterms:W3CDTF">2021-02-08T10:27:00Z</dcterms:created>
  <dcterms:modified xsi:type="dcterms:W3CDTF">2021-04-27T10:29:00Z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