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4820"/>
        </w:tabs>
        <w:spacing w:line="360" w:lineRule="auto"/>
        <w:ind w:left="4820" w:firstLine="0"/>
        <w:rPr>
          <w:rFonts w:ascii="PT Astra Serif" w:hAnsi="PT Astra Serif" w:cs="Times New Roman"/>
          <w:sz w:val="28"/>
          <w:szCs w:val="28"/>
        </w:rPr>
      </w:pPr>
      <w:r>
        <w:rPr>
          <w:rFonts w:ascii="PT Astra Serif" w:hAnsi="PT Astra Serif" w:cs="Times New Roman"/>
          <w:sz w:val="28"/>
          <w:szCs w:val="28"/>
        </w:rPr>
        <w:t>УТВЕРЖДЕН</w:t>
      </w:r>
    </w:p>
    <w:p>
      <w:pPr>
        <w:tabs>
          <w:tab w:val="left" w:pos="4820"/>
          <w:tab w:val="left" w:pos="6120"/>
        </w:tabs>
        <w:ind w:left="4820" w:firstLine="0"/>
        <w:rPr>
          <w:rFonts w:ascii="PT Astra Serif" w:hAnsi="PT Astra Serif" w:cs="Times New Roman"/>
          <w:sz w:val="28"/>
          <w:szCs w:val="28"/>
        </w:rPr>
      </w:pPr>
      <w:r>
        <w:rPr>
          <w:rFonts w:ascii="PT Astra Serif" w:hAnsi="PT Astra Serif" w:cs="Times New Roman"/>
          <w:sz w:val="28"/>
          <w:szCs w:val="28"/>
        </w:rPr>
        <w:t xml:space="preserve">постановлением </w:t>
      </w:r>
    </w:p>
    <w:p>
      <w:pPr>
        <w:tabs>
          <w:tab w:val="left" w:pos="4820"/>
          <w:tab w:val="left" w:pos="6120"/>
        </w:tabs>
        <w:ind w:left="4820" w:firstLine="0"/>
        <w:rPr>
          <w:rFonts w:ascii="PT Astra Serif" w:hAnsi="PT Astra Serif" w:cs="Times New Roman"/>
          <w:sz w:val="28"/>
          <w:szCs w:val="28"/>
        </w:rPr>
      </w:pPr>
      <w:r>
        <w:rPr>
          <w:rFonts w:ascii="PT Astra Serif" w:hAnsi="PT Astra Serif" w:cs="Times New Roman"/>
          <w:sz w:val="28"/>
          <w:szCs w:val="28"/>
        </w:rPr>
        <w:t xml:space="preserve">Администрации </w:t>
      </w:r>
      <w:r>
        <w:rPr>
          <w:rFonts w:ascii="PT Astra Serif" w:hAnsi="PT Astra Serif"/>
          <w:sz w:val="28"/>
          <w:szCs w:val="28"/>
        </w:rPr>
        <w:t xml:space="preserve">Тазовского района  </w:t>
      </w:r>
    </w:p>
    <w:p>
      <w:pPr>
        <w:pStyle w:val="a4"/>
        <w:tabs>
          <w:tab w:val="left" w:pos="4820"/>
          <w:tab w:val="left" w:pos="5670"/>
        </w:tabs>
        <w:ind w:left="4820"/>
        <w:jc w:val="both"/>
        <w:rPr>
          <w:rFonts w:ascii="PT Astra Serif" w:hAnsi="PT Astra Serif"/>
          <w:sz w:val="28"/>
          <w:szCs w:val="28"/>
        </w:rPr>
      </w:pPr>
      <w:r>
        <w:rPr>
          <w:rFonts w:ascii="PT Astra Serif" w:hAnsi="PT Astra Serif"/>
          <w:sz w:val="28"/>
          <w:szCs w:val="28"/>
        </w:rPr>
        <w:t>от 14 апреля 2021 года № 330-п</w:t>
      </w:r>
      <w:bookmarkStart w:id="0" w:name="_GoBack"/>
      <w:bookmarkEnd w:id="0"/>
    </w:p>
    <w:p>
      <w:pPr>
        <w:tabs>
          <w:tab w:val="left" w:pos="3435"/>
          <w:tab w:val="left" w:pos="4820"/>
          <w:tab w:val="left" w:pos="4962"/>
        </w:tabs>
        <w:ind w:right="38" w:firstLine="0"/>
        <w:jc w:val="center"/>
        <w:rPr>
          <w:rFonts w:ascii="PT Astra Serif" w:hAnsi="PT Astra Serif" w:cs="Times New Roman"/>
          <w:b/>
          <w:sz w:val="28"/>
          <w:szCs w:val="28"/>
        </w:rPr>
      </w:pPr>
    </w:p>
    <w:p>
      <w:pPr>
        <w:tabs>
          <w:tab w:val="left" w:pos="3435"/>
          <w:tab w:val="left" w:pos="4820"/>
          <w:tab w:val="left" w:pos="4962"/>
        </w:tabs>
        <w:ind w:right="38" w:firstLine="0"/>
        <w:jc w:val="center"/>
        <w:rPr>
          <w:rFonts w:ascii="PT Astra Serif" w:hAnsi="PT Astra Serif" w:cs="Times New Roman"/>
          <w:b/>
          <w:sz w:val="28"/>
          <w:szCs w:val="28"/>
        </w:rPr>
      </w:pPr>
    </w:p>
    <w:p>
      <w:pPr>
        <w:tabs>
          <w:tab w:val="left" w:pos="3435"/>
          <w:tab w:val="left" w:pos="4820"/>
          <w:tab w:val="left" w:pos="4962"/>
        </w:tabs>
        <w:ind w:right="38" w:firstLine="0"/>
        <w:jc w:val="center"/>
        <w:rPr>
          <w:rFonts w:ascii="PT Astra Serif" w:hAnsi="PT Astra Serif" w:cs="Times New Roman"/>
          <w:b/>
          <w:sz w:val="28"/>
          <w:szCs w:val="28"/>
        </w:rPr>
      </w:pPr>
    </w:p>
    <w:p>
      <w:pPr>
        <w:tabs>
          <w:tab w:val="left" w:pos="0"/>
        </w:tabs>
        <w:ind w:right="701" w:firstLine="0"/>
        <w:jc w:val="center"/>
        <w:rPr>
          <w:rFonts w:ascii="PT Astra Serif" w:hAnsi="PT Astra Serif" w:cs="Times New Roman"/>
          <w:b/>
          <w:sz w:val="28"/>
          <w:szCs w:val="28"/>
        </w:rPr>
      </w:pPr>
      <w:r>
        <w:rPr>
          <w:rFonts w:ascii="PT Astra Serif" w:hAnsi="PT Astra Serif" w:cs="Times New Roman"/>
          <w:b/>
          <w:sz w:val="28"/>
          <w:szCs w:val="28"/>
        </w:rPr>
        <w:t>ПОРЯДОК</w:t>
      </w:r>
    </w:p>
    <w:p>
      <w:pPr>
        <w:tabs>
          <w:tab w:val="left" w:pos="0"/>
        </w:tabs>
        <w:ind w:right="701" w:firstLine="0"/>
        <w:jc w:val="center"/>
        <w:rPr>
          <w:rFonts w:ascii="PT Astra Serif" w:hAnsi="PT Astra Serif" w:cs="Times New Roman"/>
          <w:b/>
          <w:sz w:val="28"/>
          <w:szCs w:val="28"/>
        </w:rPr>
      </w:pPr>
      <w:r>
        <w:rPr>
          <w:rFonts w:ascii="PT Astra Serif" w:hAnsi="PT Astra Serif" w:cs="Times New Roman"/>
          <w:b/>
          <w:sz w:val="28"/>
          <w:szCs w:val="28"/>
        </w:rPr>
        <w:t>использования бюджетных ассигнований</w:t>
      </w:r>
    </w:p>
    <w:p>
      <w:pPr>
        <w:tabs>
          <w:tab w:val="left" w:pos="0"/>
        </w:tabs>
        <w:ind w:right="701" w:firstLine="0"/>
        <w:jc w:val="center"/>
        <w:rPr>
          <w:rFonts w:ascii="PT Astra Serif" w:hAnsi="PT Astra Serif" w:cs="Times New Roman"/>
          <w:b/>
          <w:sz w:val="28"/>
          <w:szCs w:val="28"/>
        </w:rPr>
      </w:pPr>
      <w:r>
        <w:rPr>
          <w:rFonts w:ascii="PT Astra Serif" w:hAnsi="PT Astra Serif" w:cs="Times New Roman"/>
          <w:b/>
          <w:sz w:val="28"/>
          <w:szCs w:val="28"/>
        </w:rPr>
        <w:t>резервного фонда Администрации Тазовского района</w:t>
      </w:r>
    </w:p>
    <w:p>
      <w:pPr>
        <w:ind w:right="38" w:firstLine="0"/>
        <w:jc w:val="center"/>
        <w:rPr>
          <w:rFonts w:ascii="PT Astra Serif" w:hAnsi="PT Astra Serif" w:cs="Times New Roman"/>
          <w:sz w:val="28"/>
          <w:szCs w:val="28"/>
        </w:rPr>
      </w:pPr>
    </w:p>
    <w:p>
      <w:pPr>
        <w:ind w:right="38" w:firstLine="0"/>
        <w:jc w:val="center"/>
        <w:rPr>
          <w:rFonts w:ascii="PT Astra Serif" w:hAnsi="PT Astra Serif" w:cs="Times New Roman"/>
          <w:sz w:val="28"/>
          <w:szCs w:val="28"/>
        </w:rPr>
      </w:pPr>
    </w:p>
    <w:p>
      <w:pPr>
        <w:pStyle w:val="a3"/>
        <w:numPr>
          <w:ilvl w:val="0"/>
          <w:numId w:val="8"/>
        </w:numPr>
        <w:ind w:left="0" w:right="38" w:firstLine="0"/>
        <w:jc w:val="center"/>
        <w:rPr>
          <w:rFonts w:ascii="PT Astra Serif" w:hAnsi="PT Astra Serif"/>
          <w:b/>
          <w:sz w:val="28"/>
          <w:szCs w:val="28"/>
        </w:rPr>
      </w:pPr>
      <w:r>
        <w:rPr>
          <w:rFonts w:ascii="PT Astra Serif" w:hAnsi="PT Astra Serif"/>
          <w:b/>
          <w:sz w:val="28"/>
          <w:szCs w:val="28"/>
        </w:rPr>
        <w:t>Общие положения</w:t>
      </w:r>
    </w:p>
    <w:p>
      <w:pPr>
        <w:ind w:right="38" w:firstLine="0"/>
        <w:jc w:val="center"/>
        <w:rPr>
          <w:rFonts w:ascii="PT Astra Serif" w:hAnsi="PT Astra Serif" w:cs="Times New Roman"/>
          <w:sz w:val="28"/>
          <w:szCs w:val="28"/>
        </w:rPr>
      </w:pPr>
    </w:p>
    <w:p>
      <w:pPr>
        <w:pStyle w:val="a4"/>
        <w:numPr>
          <w:ilvl w:val="1"/>
          <w:numId w:val="8"/>
        </w:numPr>
        <w:tabs>
          <w:tab w:val="left" w:pos="0"/>
          <w:tab w:val="left" w:pos="851"/>
          <w:tab w:val="left" w:pos="993"/>
        </w:tabs>
        <w:ind w:left="0" w:firstLine="709"/>
        <w:jc w:val="both"/>
        <w:rPr>
          <w:rFonts w:ascii="PT Astra Serif" w:hAnsi="PT Astra Serif" w:cs="Times New Roman"/>
          <w:sz w:val="28"/>
          <w:szCs w:val="28"/>
        </w:rPr>
      </w:pPr>
      <w:r>
        <w:rPr>
          <w:rFonts w:ascii="PT Astra Serif" w:hAnsi="PT Astra Serif" w:cs="Times New Roman"/>
          <w:sz w:val="28"/>
          <w:szCs w:val="28"/>
        </w:rPr>
        <w:t xml:space="preserve">Резервный фонд Администрации Тазовского района (далее – резервный фонд) создается для финансирования непредвиденных расходов Тазовского района, в том числе на предупреждение и ликвидацию чрезвычайных ситуаций природного и техногенного характера и иных мероприятий, связанных с ликвидацией последствий стихийных бедствий                        и чрезвычайных ситуаций. </w:t>
      </w:r>
    </w:p>
    <w:p>
      <w:pPr>
        <w:pStyle w:val="a4"/>
        <w:tabs>
          <w:tab w:val="left" w:pos="851"/>
          <w:tab w:val="left" w:pos="993"/>
        </w:tabs>
        <w:ind w:firstLine="709"/>
        <w:jc w:val="both"/>
        <w:rPr>
          <w:rFonts w:ascii="PT Astra Serif" w:hAnsi="PT Astra Serif" w:cs="Times New Roman"/>
          <w:sz w:val="28"/>
          <w:szCs w:val="28"/>
        </w:rPr>
      </w:pPr>
      <w:r>
        <w:rPr>
          <w:rFonts w:ascii="PT Astra Serif" w:hAnsi="PT Astra Serif" w:cs="Times New Roman"/>
          <w:sz w:val="28"/>
          <w:szCs w:val="28"/>
        </w:rPr>
        <w:t>К непредвиденным расходам относятся расходы местного бюджета                     на обеспечение полномочий органов местного самоуправления муниципального округа Тазовский район, носящие случайный характер,                          то есть такие расходы, возникновение потребности в которых нельзя было предусмотреть заранее в силу обстоятельств объективного характера и которые не могли быть учтены при формировании расходов местного бюджета                         на соответствующий финансовый год и на плановый период и не могут быть отложены на очередной финансовый год.</w:t>
      </w:r>
    </w:p>
    <w:p>
      <w:pPr>
        <w:pStyle w:val="a4"/>
        <w:tabs>
          <w:tab w:val="left" w:pos="142"/>
          <w:tab w:val="left" w:pos="851"/>
          <w:tab w:val="left" w:pos="993"/>
        </w:tabs>
        <w:ind w:firstLine="709"/>
        <w:jc w:val="both"/>
        <w:rPr>
          <w:rFonts w:ascii="PT Astra Serif" w:hAnsi="PT Astra Serif" w:cs="Times New Roman"/>
          <w:sz w:val="28"/>
          <w:szCs w:val="28"/>
        </w:rPr>
      </w:pPr>
      <w:r>
        <w:rPr>
          <w:rFonts w:ascii="PT Astra Serif" w:hAnsi="PT Astra Serif" w:cs="Times New Roman"/>
          <w:sz w:val="28"/>
          <w:szCs w:val="28"/>
        </w:rPr>
        <w:t>Непредвиденные расходы не могут иметь регулярный характер,                            за исключением мероприятий, связанных с ликвидацией последствий стихийных бедствий и других чрезвычайных ситуаций.</w:t>
      </w:r>
    </w:p>
    <w:p>
      <w:pPr>
        <w:pStyle w:val="a4"/>
        <w:numPr>
          <w:ilvl w:val="1"/>
          <w:numId w:val="8"/>
        </w:numPr>
        <w:tabs>
          <w:tab w:val="left" w:pos="142"/>
          <w:tab w:val="left" w:pos="993"/>
        </w:tabs>
        <w:ind w:left="0" w:firstLine="709"/>
        <w:jc w:val="both"/>
        <w:rPr>
          <w:rFonts w:ascii="PT Astra Serif" w:hAnsi="PT Astra Serif" w:cs="Times New Roman"/>
          <w:sz w:val="28"/>
          <w:szCs w:val="28"/>
        </w:rPr>
      </w:pPr>
      <w:r>
        <w:rPr>
          <w:rFonts w:ascii="PT Astra Serif" w:hAnsi="PT Astra Serif" w:cs="Times New Roman"/>
          <w:sz w:val="28"/>
          <w:szCs w:val="28"/>
        </w:rPr>
        <w:t>Размер резервного фонда устанавливается решением Думы Тазовского района о бюджете Тазовского района на соответствующий финансовый год.</w:t>
      </w:r>
    </w:p>
    <w:p>
      <w:pPr>
        <w:pStyle w:val="a4"/>
        <w:tabs>
          <w:tab w:val="left" w:pos="0"/>
        </w:tabs>
        <w:jc w:val="center"/>
        <w:rPr>
          <w:rFonts w:ascii="PT Astra Serif" w:hAnsi="PT Astra Serif" w:cs="Times New Roman"/>
          <w:sz w:val="28"/>
          <w:szCs w:val="28"/>
        </w:rPr>
      </w:pPr>
    </w:p>
    <w:p>
      <w:pPr>
        <w:pStyle w:val="a4"/>
        <w:numPr>
          <w:ilvl w:val="0"/>
          <w:numId w:val="8"/>
        </w:numPr>
        <w:tabs>
          <w:tab w:val="left" w:pos="0"/>
        </w:tabs>
        <w:ind w:left="0" w:firstLine="0"/>
        <w:jc w:val="center"/>
        <w:rPr>
          <w:rFonts w:ascii="PT Astra Serif" w:hAnsi="PT Astra Serif" w:cs="Times New Roman"/>
          <w:b/>
          <w:sz w:val="28"/>
          <w:szCs w:val="28"/>
        </w:rPr>
      </w:pPr>
      <w:r>
        <w:rPr>
          <w:rFonts w:ascii="PT Astra Serif" w:hAnsi="PT Astra Serif"/>
          <w:b/>
          <w:sz w:val="28"/>
          <w:szCs w:val="28"/>
        </w:rPr>
        <w:t>Направления расходования бюджетных</w:t>
      </w:r>
    </w:p>
    <w:p>
      <w:pPr>
        <w:pStyle w:val="a4"/>
        <w:tabs>
          <w:tab w:val="left" w:pos="0"/>
        </w:tabs>
        <w:jc w:val="center"/>
        <w:rPr>
          <w:rFonts w:ascii="PT Astra Serif" w:hAnsi="PT Astra Serif" w:cs="Times New Roman"/>
          <w:b/>
          <w:sz w:val="28"/>
          <w:szCs w:val="28"/>
        </w:rPr>
      </w:pPr>
      <w:r>
        <w:rPr>
          <w:rFonts w:ascii="PT Astra Serif" w:hAnsi="PT Astra Serif"/>
          <w:b/>
          <w:sz w:val="28"/>
          <w:szCs w:val="28"/>
        </w:rPr>
        <w:t>ассигнований резервного фонда</w:t>
      </w:r>
    </w:p>
    <w:p>
      <w:pPr>
        <w:pStyle w:val="a4"/>
        <w:tabs>
          <w:tab w:val="left" w:pos="0"/>
        </w:tabs>
        <w:jc w:val="center"/>
        <w:rPr>
          <w:rFonts w:ascii="PT Astra Serif" w:hAnsi="PT Astra Serif" w:cs="Times New Roman"/>
          <w:sz w:val="28"/>
          <w:szCs w:val="28"/>
        </w:rPr>
      </w:pPr>
    </w:p>
    <w:p>
      <w:pPr>
        <w:pStyle w:val="a4"/>
        <w:numPr>
          <w:ilvl w:val="1"/>
          <w:numId w:val="8"/>
        </w:numPr>
        <w:tabs>
          <w:tab w:val="left" w:pos="1418"/>
        </w:tabs>
        <w:ind w:left="0" w:firstLine="709"/>
        <w:jc w:val="both"/>
        <w:rPr>
          <w:rFonts w:ascii="PT Astra Serif" w:hAnsi="PT Astra Serif" w:cs="Times New Roman"/>
          <w:strike/>
          <w:sz w:val="28"/>
          <w:szCs w:val="28"/>
        </w:rPr>
      </w:pPr>
      <w:r>
        <w:rPr>
          <w:rFonts w:ascii="PT Astra Serif" w:hAnsi="PT Astra Serif" w:cs="Times New Roman"/>
          <w:sz w:val="28"/>
          <w:szCs w:val="28"/>
        </w:rPr>
        <w:t>Бюджетные ассигнования резервного фонда выделяются главным распорядителям средств бюджета Тазовского района (далее - местного бюджета) в соответствии с установленными действующим законодательством полномочиями органов местного самоуправления.</w:t>
      </w:r>
    </w:p>
    <w:p>
      <w:pPr>
        <w:pStyle w:val="a3"/>
        <w:numPr>
          <w:ilvl w:val="1"/>
          <w:numId w:val="8"/>
        </w:numPr>
        <w:tabs>
          <w:tab w:val="left" w:pos="709"/>
          <w:tab w:val="left" w:pos="1418"/>
        </w:tabs>
        <w:ind w:left="0" w:right="38" w:firstLine="709"/>
        <w:jc w:val="both"/>
        <w:rPr>
          <w:rFonts w:ascii="PT Astra Serif" w:hAnsi="PT Astra Serif"/>
          <w:sz w:val="28"/>
          <w:szCs w:val="28"/>
        </w:rPr>
      </w:pPr>
      <w:r>
        <w:rPr>
          <w:rFonts w:ascii="PT Astra Serif" w:hAnsi="PT Astra Serif"/>
          <w:sz w:val="28"/>
          <w:szCs w:val="28"/>
        </w:rPr>
        <w:t>Бюджетные ассигнования резервного фонда направляются                           на финансирование:</w:t>
      </w:r>
    </w:p>
    <w:p>
      <w:pPr>
        <w:pStyle w:val="a3"/>
        <w:numPr>
          <w:ilvl w:val="0"/>
          <w:numId w:val="1"/>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lastRenderedPageBreak/>
        <w:t>поисковых, аварийно-восстановительных, ремонтных работ                            на объектах жилищно-коммунального хозяйства, социальной сферы, промышленности, энергетики, транспорта и связи, пострадавших в результате чрезвычайных ситуаций или стихийных бедствий;</w:t>
      </w:r>
    </w:p>
    <w:p>
      <w:pPr>
        <w:pStyle w:val="a3"/>
        <w:numPr>
          <w:ilvl w:val="0"/>
          <w:numId w:val="1"/>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 xml:space="preserve">развертывание и содержание временных пунктов проживания                           и питания для эвакуированных и </w:t>
      </w:r>
      <w:r>
        <w:rPr>
          <w:rFonts w:ascii="PT Astra Serif" w:hAnsi="PT Astra Serif"/>
          <w:spacing w:val="-20"/>
          <w:sz w:val="28"/>
          <w:szCs w:val="28"/>
        </w:rPr>
        <w:t>пос</w:t>
      </w:r>
      <w:r>
        <w:rPr>
          <w:rFonts w:ascii="PT Astra Serif" w:hAnsi="PT Astra Serif"/>
          <w:sz w:val="28"/>
          <w:szCs w:val="28"/>
        </w:rPr>
        <w:t>трада</w:t>
      </w:r>
      <w:r>
        <w:rPr>
          <w:rFonts w:ascii="PT Astra Serif" w:hAnsi="PT Astra Serif"/>
          <w:spacing w:val="-20"/>
          <w:sz w:val="28"/>
          <w:szCs w:val="28"/>
        </w:rPr>
        <w:t>вших гр</w:t>
      </w:r>
      <w:r>
        <w:rPr>
          <w:rFonts w:ascii="PT Astra Serif" w:hAnsi="PT Astra Serif"/>
          <w:sz w:val="28"/>
          <w:szCs w:val="28"/>
        </w:rPr>
        <w:t>ажд</w:t>
      </w:r>
      <w:r>
        <w:rPr>
          <w:rFonts w:ascii="PT Astra Serif" w:hAnsi="PT Astra Serif"/>
          <w:spacing w:val="-20"/>
          <w:sz w:val="28"/>
          <w:szCs w:val="28"/>
        </w:rPr>
        <w:t>ан</w:t>
      </w:r>
      <w:r>
        <w:rPr>
          <w:rFonts w:ascii="PT Astra Serif" w:hAnsi="PT Astra Serif"/>
          <w:sz w:val="28"/>
          <w:szCs w:val="28"/>
        </w:rPr>
        <w:t xml:space="preserve"> (но не более 6 месяцев);</w:t>
      </w:r>
    </w:p>
    <w:p>
      <w:pPr>
        <w:pStyle w:val="a3"/>
        <w:numPr>
          <w:ilvl w:val="0"/>
          <w:numId w:val="1"/>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оказание единовременной материальной помощи:</w:t>
      </w:r>
    </w:p>
    <w:p>
      <w:pPr>
        <w:pStyle w:val="a3"/>
        <w:numPr>
          <w:ilvl w:val="0"/>
          <w:numId w:val="10"/>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гражданам, пострадавшим в результате чрезвычайных ситуаций, стихийных бедствий, аварий техногенного характера, пожаров на территории Тазовского района, - в размере 10 тысяч рублей на человека;</w:t>
      </w:r>
    </w:p>
    <w:p>
      <w:pPr>
        <w:pStyle w:val="a3"/>
        <w:numPr>
          <w:ilvl w:val="0"/>
          <w:numId w:val="10"/>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гражданам в связи с утратой ими в результате чрезвычайных ситуаций, стихийных бедствий, аварий техногенного характера, пожаров                     на территории Тазовского района имущества первой необходимости                                   (из расчёта за частично утраченное имущество первой необходимости –                            до 50 тысяч рублей на семью, за полностью утраченное имущество                            первой необходимости – до 100 тысяч рублей на семью);</w:t>
      </w:r>
    </w:p>
    <w:p>
      <w:pPr>
        <w:pStyle w:val="a3"/>
        <w:numPr>
          <w:ilvl w:val="0"/>
          <w:numId w:val="1"/>
        </w:numPr>
        <w:tabs>
          <w:tab w:val="left" w:pos="709"/>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проведение экст</w:t>
      </w:r>
      <w:r>
        <w:rPr>
          <w:rFonts w:ascii="PT Astra Serif" w:hAnsi="PT Astra Serif"/>
          <w:spacing w:val="-20"/>
          <w:sz w:val="28"/>
          <w:szCs w:val="28"/>
        </w:rPr>
        <w:t>ренных противоэпидемиологических и противоэпизоотических мероприятий</w:t>
      </w:r>
      <w:r>
        <w:rPr>
          <w:rFonts w:ascii="PT Astra Serif" w:hAnsi="PT Astra Serif"/>
          <w:sz w:val="28"/>
          <w:szCs w:val="28"/>
        </w:rPr>
        <w:t xml:space="preserve"> по предупреждению вспышек эпидемий и эпизоотий;</w:t>
      </w:r>
    </w:p>
    <w:p>
      <w:pPr>
        <w:pStyle w:val="a3"/>
        <w:numPr>
          <w:ilvl w:val="0"/>
          <w:numId w:val="1"/>
        </w:numPr>
        <w:tabs>
          <w:tab w:val="left" w:pos="709"/>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восполнение резерва материальных ресурсов для предупреждения                    и  ликвидации чрезвычайных ситуаций на территории Тазовского района;</w:t>
      </w:r>
    </w:p>
    <w:p>
      <w:pPr>
        <w:pStyle w:val="a3"/>
        <w:numPr>
          <w:ilvl w:val="0"/>
          <w:numId w:val="1"/>
        </w:numPr>
        <w:tabs>
          <w:tab w:val="left" w:pos="709"/>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 xml:space="preserve">проведение экстренных (превентивных) </w:t>
      </w:r>
      <w:r>
        <w:rPr>
          <w:rFonts w:ascii="PT Astra Serif" w:hAnsi="PT Astra Serif"/>
          <w:spacing w:val="-20"/>
          <w:sz w:val="28"/>
          <w:szCs w:val="28"/>
        </w:rPr>
        <w:t>мероприятий по предупреждению</w:t>
      </w:r>
      <w:r>
        <w:rPr>
          <w:rFonts w:ascii="PT Astra Serif" w:hAnsi="PT Astra Serif"/>
          <w:sz w:val="28"/>
          <w:szCs w:val="28"/>
        </w:rPr>
        <w:t xml:space="preserve"> чрезвычайных ситуаций, стихийных бедствий на территории Тазовского района;</w:t>
      </w:r>
    </w:p>
    <w:p>
      <w:pPr>
        <w:pStyle w:val="a3"/>
        <w:numPr>
          <w:ilvl w:val="0"/>
          <w:numId w:val="1"/>
        </w:numPr>
        <w:tabs>
          <w:tab w:val="left" w:pos="709"/>
          <w:tab w:val="left" w:pos="1134"/>
        </w:tabs>
        <w:adjustRightInd w:val="0"/>
        <w:ind w:left="0" w:firstLine="698"/>
        <w:jc w:val="both"/>
        <w:outlineLvl w:val="1"/>
        <w:rPr>
          <w:rFonts w:ascii="PT Astra Serif" w:hAnsi="PT Astra Serif"/>
          <w:sz w:val="28"/>
          <w:szCs w:val="28"/>
        </w:rPr>
      </w:pPr>
      <w:r>
        <w:rPr>
          <w:rFonts w:ascii="PT Astra Serif" w:hAnsi="PT Astra Serif"/>
          <w:sz w:val="28"/>
          <w:szCs w:val="28"/>
        </w:rPr>
        <w:t>проведение непредвиденных и неотложных работ по строительству, реконструкции или ремонту объектов социально-культурного и жилищно-коммунального назначения;</w:t>
      </w:r>
    </w:p>
    <w:p>
      <w:pPr>
        <w:pStyle w:val="a3"/>
        <w:numPr>
          <w:ilvl w:val="0"/>
          <w:numId w:val="1"/>
        </w:numPr>
        <w:tabs>
          <w:tab w:val="left" w:pos="709"/>
          <w:tab w:val="left" w:pos="851"/>
          <w:tab w:val="left" w:pos="1134"/>
        </w:tabs>
        <w:adjustRightInd w:val="0"/>
        <w:ind w:left="0" w:firstLine="698"/>
        <w:jc w:val="both"/>
        <w:outlineLvl w:val="1"/>
        <w:rPr>
          <w:rFonts w:ascii="PT Astra Serif" w:hAnsi="PT Astra Serif"/>
          <w:sz w:val="28"/>
          <w:szCs w:val="28"/>
        </w:rPr>
      </w:pPr>
      <w:r>
        <w:rPr>
          <w:rFonts w:ascii="PT Astra Serif" w:hAnsi="PT Astra Serif"/>
          <w:sz w:val="28"/>
          <w:szCs w:val="28"/>
        </w:rPr>
        <w:t>других непредвиденных расходов, в том числе мероприятий, проводимых по решению Главы Тазовского района, в случае введения                               на территории Тазовского района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w:t>
      </w:r>
    </w:p>
    <w:p>
      <w:pPr>
        <w:pStyle w:val="a3"/>
        <w:tabs>
          <w:tab w:val="left" w:pos="709"/>
          <w:tab w:val="left" w:pos="851"/>
          <w:tab w:val="left" w:pos="993"/>
        </w:tabs>
        <w:adjustRightInd w:val="0"/>
        <w:ind w:left="698"/>
        <w:jc w:val="both"/>
        <w:outlineLvl w:val="1"/>
        <w:rPr>
          <w:rFonts w:ascii="PT Astra Serif" w:hAnsi="PT Astra Serif"/>
          <w:sz w:val="28"/>
          <w:szCs w:val="28"/>
        </w:rPr>
      </w:pPr>
    </w:p>
    <w:p>
      <w:pPr>
        <w:numPr>
          <w:ilvl w:val="0"/>
          <w:numId w:val="6"/>
        </w:numPr>
        <w:tabs>
          <w:tab w:val="left" w:pos="0"/>
        </w:tabs>
        <w:ind w:left="0" w:right="-5" w:firstLine="142"/>
        <w:jc w:val="center"/>
        <w:rPr>
          <w:rFonts w:ascii="PT Astra Serif" w:hAnsi="PT Astra Serif"/>
          <w:b/>
          <w:sz w:val="28"/>
          <w:szCs w:val="28"/>
        </w:rPr>
      </w:pPr>
      <w:r>
        <w:rPr>
          <w:rFonts w:ascii="PT Astra Serif" w:hAnsi="PT Astra Serif"/>
          <w:b/>
          <w:sz w:val="28"/>
          <w:szCs w:val="28"/>
        </w:rPr>
        <w:t>Условия предоставления и порядок расходования бюджетных ассигнований резервного фонда</w:t>
      </w:r>
    </w:p>
    <w:p>
      <w:pPr>
        <w:pStyle w:val="a3"/>
        <w:tabs>
          <w:tab w:val="left" w:pos="709"/>
          <w:tab w:val="left" w:pos="851"/>
          <w:tab w:val="left" w:pos="993"/>
        </w:tabs>
        <w:adjustRightInd w:val="0"/>
        <w:ind w:left="698"/>
        <w:jc w:val="both"/>
        <w:outlineLvl w:val="1"/>
        <w:rPr>
          <w:rFonts w:ascii="PT Astra Serif" w:hAnsi="PT Astra Serif"/>
          <w:sz w:val="28"/>
          <w:szCs w:val="28"/>
        </w:rPr>
      </w:pPr>
    </w:p>
    <w:p>
      <w:pPr>
        <w:pStyle w:val="a3"/>
        <w:numPr>
          <w:ilvl w:val="1"/>
          <w:numId w:val="12"/>
        </w:numPr>
        <w:tabs>
          <w:tab w:val="left" w:pos="1418"/>
        </w:tabs>
        <w:ind w:left="0" w:firstLine="720"/>
        <w:jc w:val="both"/>
        <w:outlineLvl w:val="1"/>
        <w:rPr>
          <w:rFonts w:ascii="PT Astra Serif" w:hAnsi="PT Astra Serif"/>
          <w:sz w:val="28"/>
          <w:szCs w:val="28"/>
        </w:rPr>
      </w:pPr>
      <w:r>
        <w:rPr>
          <w:rFonts w:ascii="PT Astra Serif" w:hAnsi="PT Astra Serif"/>
          <w:sz w:val="28"/>
          <w:szCs w:val="28"/>
        </w:rPr>
        <w:t>Выделение бюджетных ассигнований резервного фонда производится посредством перераспределения по соответствующим кодам бюджетной классификации расходов и осуществляется на основании муниципального правового акта Администрации Тазовского района.</w:t>
      </w:r>
    </w:p>
    <w:p>
      <w:pPr>
        <w:pStyle w:val="a3"/>
        <w:tabs>
          <w:tab w:val="left" w:pos="0"/>
          <w:tab w:val="left" w:pos="851"/>
          <w:tab w:val="left" w:pos="1418"/>
        </w:tabs>
        <w:adjustRightInd w:val="0"/>
        <w:ind w:left="0" w:firstLine="720"/>
        <w:jc w:val="both"/>
        <w:outlineLvl w:val="1"/>
        <w:rPr>
          <w:rFonts w:ascii="PT Astra Serif" w:hAnsi="PT Astra Serif"/>
          <w:sz w:val="28"/>
          <w:szCs w:val="28"/>
        </w:rPr>
      </w:pPr>
      <w:r>
        <w:rPr>
          <w:rFonts w:ascii="PT Astra Serif" w:hAnsi="PT Astra Serif"/>
          <w:sz w:val="28"/>
          <w:szCs w:val="28"/>
        </w:rPr>
        <w:t>Бюджетные ассигнования, выделяемые из резервного фонда, подлежат включению в состав соответствующей муниципальной программы Тазовского района, в случае соответствия её целям, задачам и мероприятиям. В иных случаях бюджетные ассигнования, выделяемые из резервного фонда, включаются в непрограммную часть расходов местного бюджета.</w:t>
      </w:r>
    </w:p>
    <w:p>
      <w:pPr>
        <w:pStyle w:val="a3"/>
        <w:numPr>
          <w:ilvl w:val="1"/>
          <w:numId w:val="12"/>
        </w:numPr>
        <w:tabs>
          <w:tab w:val="left" w:pos="0"/>
          <w:tab w:val="left" w:pos="851"/>
          <w:tab w:val="left" w:pos="1418"/>
        </w:tabs>
        <w:ind w:left="0" w:firstLine="720"/>
        <w:jc w:val="both"/>
        <w:outlineLvl w:val="1"/>
        <w:rPr>
          <w:rFonts w:ascii="PT Astra Serif" w:hAnsi="PT Astra Serif"/>
          <w:sz w:val="28"/>
          <w:szCs w:val="28"/>
        </w:rPr>
      </w:pPr>
      <w:r>
        <w:rPr>
          <w:rFonts w:ascii="PT Astra Serif" w:hAnsi="PT Astra Serif"/>
          <w:sz w:val="28"/>
          <w:szCs w:val="28"/>
        </w:rPr>
        <w:lastRenderedPageBreak/>
        <w:t xml:space="preserve">Основанием для подготовки проекта муниципального правового акта о выделении бюджетных ассигнований на направления, указанные                           в </w:t>
      </w:r>
      <w:hyperlink r:id="rId7" w:history="1">
        <w:r>
          <w:rPr>
            <w:rFonts w:ascii="PT Astra Serif" w:hAnsi="PT Astra Serif"/>
            <w:sz w:val="28"/>
            <w:szCs w:val="28"/>
          </w:rPr>
          <w:t>подпунктах «а»</w:t>
        </w:r>
      </w:hyperlink>
      <w:r>
        <w:rPr>
          <w:rFonts w:ascii="PT Astra Serif" w:hAnsi="PT Astra Serif"/>
          <w:sz w:val="28"/>
          <w:szCs w:val="28"/>
        </w:rPr>
        <w:t xml:space="preserve"> - </w:t>
      </w:r>
      <w:hyperlink r:id="rId8" w:history="1">
        <w:r>
          <w:rPr>
            <w:rFonts w:ascii="PT Astra Serif" w:hAnsi="PT Astra Serif"/>
            <w:sz w:val="28"/>
            <w:szCs w:val="28"/>
          </w:rPr>
          <w:t xml:space="preserve">«е» пункта 2.2 </w:t>
        </w:r>
      </w:hyperlink>
      <w:r>
        <w:rPr>
          <w:rFonts w:ascii="PT Astra Serif" w:hAnsi="PT Astra Serif"/>
          <w:sz w:val="28"/>
          <w:szCs w:val="28"/>
        </w:rPr>
        <w:t>настоящего Порядка, является решение комиссии по предупреждению и ликвидации чрезвычайных ситуаций                               и обеспечению пожарной безопасности в Тазовском районе (далее - комиссия), принятое на основании документов, подтверждающих факт (непосредственную возможность) возникновения чрезвычайной ситуации или стихийного бедствия на территории Тазовского района.</w:t>
      </w:r>
    </w:p>
    <w:p>
      <w:pPr>
        <w:tabs>
          <w:tab w:val="left" w:pos="709"/>
        </w:tabs>
        <w:ind w:firstLine="709"/>
        <w:outlineLvl w:val="1"/>
        <w:rPr>
          <w:rFonts w:ascii="PT Astra Serif" w:hAnsi="PT Astra Serif" w:cs="Times New Roman"/>
          <w:sz w:val="28"/>
          <w:szCs w:val="28"/>
        </w:rPr>
      </w:pPr>
      <w:r>
        <w:rPr>
          <w:rFonts w:ascii="PT Astra Serif" w:hAnsi="PT Astra Serif" w:cs="Times New Roman"/>
          <w:sz w:val="28"/>
          <w:szCs w:val="28"/>
        </w:rPr>
        <w:t xml:space="preserve">Решение комиссии о необходимости выделения бюджетных ассигнований из резервного фонда принимается на основании обращения организаций (независимо от их организационно-правовой формы), иных лиц, находящихся                  в зонах чрезвычайных ситуаций (на территории, на которой существует угроза возникновения чрезвычайной ситуации), об оказании финансовой помощи                        в ликвидации (предупреждении) чрезвычайных ситуаций. Обращение направляется в комиссию с приложением документов, обосновывающих размер финансовой помощи и актов обследования на каждый пострадавший объект                          с указанием характера и объемов разрушений (повреждений) с приложением смет на проведение неотложных аварийно-восстановительных работ                             по каждому объекту, обосновывающих размер финансовой помощи. Комиссия осуществляет свою деятельность в порядке, установленном правовым актом Администрации Тазовского района. </w:t>
      </w:r>
    </w:p>
    <w:p>
      <w:pPr>
        <w:tabs>
          <w:tab w:val="left" w:pos="709"/>
        </w:tabs>
        <w:ind w:firstLine="709"/>
        <w:outlineLvl w:val="1"/>
        <w:rPr>
          <w:rFonts w:ascii="PT Astra Serif" w:hAnsi="PT Astra Serif" w:cs="Times New Roman"/>
          <w:sz w:val="28"/>
          <w:szCs w:val="28"/>
        </w:rPr>
      </w:pPr>
      <w:r>
        <w:rPr>
          <w:rFonts w:ascii="PT Astra Serif" w:hAnsi="PT Astra Serif" w:cs="Times New Roman"/>
          <w:sz w:val="28"/>
          <w:szCs w:val="28"/>
        </w:rPr>
        <w:t>Обращение, в котором отсутствуют указанные акты обследования пострадавших объектов и размер финансовой помощи, возвращается                               без рассмотрения в течение трёх рабочих дней.</w:t>
      </w:r>
    </w:p>
    <w:p>
      <w:pPr>
        <w:pStyle w:val="a3"/>
        <w:tabs>
          <w:tab w:val="left" w:pos="851"/>
          <w:tab w:val="left" w:pos="993"/>
        </w:tabs>
        <w:adjustRightInd w:val="0"/>
        <w:ind w:left="0" w:firstLine="709"/>
        <w:jc w:val="both"/>
        <w:outlineLvl w:val="1"/>
        <w:rPr>
          <w:rFonts w:ascii="PT Astra Serif" w:hAnsi="PT Astra Serif"/>
          <w:sz w:val="28"/>
          <w:szCs w:val="28"/>
        </w:rPr>
      </w:pPr>
      <w:r>
        <w:rPr>
          <w:rFonts w:ascii="PT Astra Serif" w:hAnsi="PT Astra Serif"/>
          <w:sz w:val="28"/>
          <w:szCs w:val="28"/>
        </w:rPr>
        <w:t>Проект муниципального правового акта о выделении бюджетных ассигнований резервного фонда осуществляет главный распорядитель средств местного бюджета, уполномоченный курировать соответствующее направление расходования бюджетных средств, в соответствии с (либо – определяемое) протоколом заседания комиссии.</w:t>
      </w:r>
    </w:p>
    <w:p>
      <w:pPr>
        <w:pStyle w:val="a3"/>
        <w:tabs>
          <w:tab w:val="left" w:pos="851"/>
          <w:tab w:val="left" w:pos="993"/>
        </w:tabs>
        <w:adjustRightInd w:val="0"/>
        <w:ind w:left="0" w:firstLine="709"/>
        <w:jc w:val="both"/>
        <w:outlineLvl w:val="1"/>
        <w:rPr>
          <w:rFonts w:ascii="PT Astra Serif" w:hAnsi="PT Astra Serif"/>
          <w:sz w:val="28"/>
          <w:szCs w:val="28"/>
        </w:rPr>
      </w:pPr>
      <w:r>
        <w:rPr>
          <w:rFonts w:ascii="PT Astra Serif" w:hAnsi="PT Astra Serif"/>
          <w:sz w:val="28"/>
          <w:szCs w:val="28"/>
        </w:rPr>
        <w:t>При направлении проекта муниципального правового акта о выделении бюджетных ассигнований резервного фонда одновременно представляются:</w:t>
      </w:r>
    </w:p>
    <w:p>
      <w:pPr>
        <w:pStyle w:val="a3"/>
        <w:numPr>
          <w:ilvl w:val="0"/>
          <w:numId w:val="3"/>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копия решения (выписка из решения) комиссии;</w:t>
      </w:r>
    </w:p>
    <w:p>
      <w:pPr>
        <w:pStyle w:val="a3"/>
        <w:numPr>
          <w:ilvl w:val="0"/>
          <w:numId w:val="3"/>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 xml:space="preserve">документы с обоснованием размера требуемых средств. </w:t>
      </w:r>
    </w:p>
    <w:p>
      <w:pPr>
        <w:pStyle w:val="a3"/>
        <w:numPr>
          <w:ilvl w:val="1"/>
          <w:numId w:val="12"/>
        </w:numPr>
        <w:tabs>
          <w:tab w:val="left" w:pos="993"/>
        </w:tabs>
        <w:ind w:left="0" w:firstLine="709"/>
        <w:jc w:val="both"/>
        <w:outlineLvl w:val="1"/>
        <w:rPr>
          <w:rFonts w:ascii="PT Astra Serif" w:hAnsi="PT Astra Serif"/>
          <w:sz w:val="28"/>
          <w:szCs w:val="28"/>
        </w:rPr>
      </w:pPr>
      <w:r>
        <w:rPr>
          <w:rFonts w:ascii="PT Astra Serif" w:hAnsi="PT Astra Serif"/>
          <w:sz w:val="28"/>
          <w:szCs w:val="28"/>
        </w:rPr>
        <w:t>Основанием для подготовки проекта муниципального правового акта о выделении бюджетных ассигнований резервного фонда на направления, указанные в подпунктах «ж» и «з» пункта 2.2 настоящего Порядка, является положительная резолюция Главы Тазовского района о выделении бюджетных ассигнований резервного фонда либо иного лица, исполняющего обязанности Главы Тазовского района.</w:t>
      </w:r>
    </w:p>
    <w:p>
      <w:pPr>
        <w:tabs>
          <w:tab w:val="left" w:pos="709"/>
        </w:tabs>
        <w:ind w:firstLine="709"/>
        <w:outlineLvl w:val="1"/>
        <w:rPr>
          <w:rFonts w:ascii="PT Astra Serif" w:hAnsi="PT Astra Serif" w:cs="Times New Roman"/>
          <w:sz w:val="28"/>
          <w:szCs w:val="28"/>
        </w:rPr>
      </w:pPr>
      <w:r>
        <w:rPr>
          <w:rFonts w:ascii="PT Astra Serif" w:hAnsi="PT Astra Serif" w:cs="Times New Roman"/>
          <w:sz w:val="28"/>
          <w:szCs w:val="28"/>
        </w:rPr>
        <w:t xml:space="preserve">Проект муниципального правового акта о выделении бюджетных ассигнований резервного фонда на указанные направления готовят главные распорядители средств местного бюджета, исполняющие задачи (функции)                     по реализации мероприятий (полномочий), на финансирование которых направляются бюджетные ассигнования резервного фонда. В случае выделения </w:t>
      </w:r>
      <w:r>
        <w:rPr>
          <w:rFonts w:ascii="PT Astra Serif" w:hAnsi="PT Astra Serif" w:cs="Times New Roman"/>
          <w:sz w:val="28"/>
          <w:szCs w:val="28"/>
        </w:rPr>
        <w:lastRenderedPageBreak/>
        <w:t>бюджетных ассигнований резервного фонда муниципальному учреждению, проект муниципального правого акта готовят главные распорядители                      средств местного бюджета по поручению Главы Тазовского района либо заместителя Главы Администрации Тазовского района, курирующего данное муниципальное учреждение.</w:t>
      </w:r>
    </w:p>
    <w:p>
      <w:pPr>
        <w:pStyle w:val="a3"/>
        <w:numPr>
          <w:ilvl w:val="1"/>
          <w:numId w:val="12"/>
        </w:numPr>
        <w:tabs>
          <w:tab w:val="left" w:pos="1276"/>
        </w:tabs>
        <w:ind w:left="0" w:firstLine="709"/>
        <w:jc w:val="both"/>
        <w:outlineLvl w:val="1"/>
        <w:rPr>
          <w:rFonts w:ascii="PT Astra Serif" w:hAnsi="PT Astra Serif"/>
          <w:sz w:val="28"/>
          <w:szCs w:val="28"/>
        </w:rPr>
      </w:pPr>
      <w:r>
        <w:rPr>
          <w:rFonts w:ascii="PT Astra Serif" w:hAnsi="PT Astra Serif"/>
          <w:sz w:val="28"/>
          <w:szCs w:val="28"/>
        </w:rPr>
        <w:t>В проекте муниципального правового акта о выделении бюджетных ассигнований резервного фонда указываются:</w:t>
      </w:r>
    </w:p>
    <w:p>
      <w:pPr>
        <w:pStyle w:val="a3"/>
        <w:numPr>
          <w:ilvl w:val="0"/>
          <w:numId w:val="2"/>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основания выделения бюджетных ассигнований из резервного фонда;</w:t>
      </w:r>
    </w:p>
    <w:p>
      <w:pPr>
        <w:pStyle w:val="a3"/>
        <w:numPr>
          <w:ilvl w:val="0"/>
          <w:numId w:val="2"/>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размер бюджетных ассигнований;</w:t>
      </w:r>
    </w:p>
    <w:p>
      <w:pPr>
        <w:pStyle w:val="a3"/>
        <w:numPr>
          <w:ilvl w:val="0"/>
          <w:numId w:val="2"/>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источник предоставления бюджетных ассигнований – резервный фонд;</w:t>
      </w:r>
    </w:p>
    <w:p>
      <w:pPr>
        <w:pStyle w:val="a3"/>
        <w:numPr>
          <w:ilvl w:val="0"/>
          <w:numId w:val="2"/>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получатель бюджетных ассигнований резервного фонда;</w:t>
      </w:r>
    </w:p>
    <w:p>
      <w:pPr>
        <w:pStyle w:val="a3"/>
        <w:numPr>
          <w:ilvl w:val="0"/>
          <w:numId w:val="2"/>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целевое назначение;</w:t>
      </w:r>
    </w:p>
    <w:p>
      <w:pPr>
        <w:pStyle w:val="a3"/>
        <w:numPr>
          <w:ilvl w:val="0"/>
          <w:numId w:val="2"/>
        </w:numPr>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 xml:space="preserve">должностное лицо Администрации Тазовского района, </w:t>
      </w:r>
      <w:r>
        <w:rPr>
          <w:rFonts w:ascii="PT Astra Serif" w:hAnsi="PT Astra Serif"/>
          <w:spacing w:val="-20"/>
          <w:sz w:val="28"/>
          <w:szCs w:val="28"/>
        </w:rPr>
        <w:t>осуществляюще</w:t>
      </w:r>
      <w:r>
        <w:rPr>
          <w:rFonts w:ascii="PT Astra Serif" w:hAnsi="PT Astra Serif"/>
          <w:sz w:val="28"/>
          <w:szCs w:val="28"/>
        </w:rPr>
        <w:t>е контроль за исполнением муниципального правового акта;</w:t>
      </w:r>
    </w:p>
    <w:p>
      <w:pPr>
        <w:pStyle w:val="a3"/>
        <w:numPr>
          <w:ilvl w:val="0"/>
          <w:numId w:val="2"/>
        </w:numPr>
        <w:tabs>
          <w:tab w:val="left" w:pos="709"/>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поручение о внесении изменений в детализированный перечень мероприятий подпрограмм муниципальной программы Тазовского района, ответственным исполнителем (соисполнителем) которой является главный распорядитель средств местного бюджета, в распоряжение которого выделяются бюджетные ассигнования резервного фонда, в случаях, предусмотренных Порядком разработки и реализации муниципальных программ Тазовского района.</w:t>
      </w:r>
    </w:p>
    <w:p>
      <w:pPr>
        <w:pStyle w:val="a3"/>
        <w:tabs>
          <w:tab w:val="left" w:pos="567"/>
          <w:tab w:val="left" w:pos="993"/>
        </w:tabs>
        <w:adjustRightInd w:val="0"/>
        <w:ind w:left="0" w:firstLine="709"/>
        <w:jc w:val="both"/>
        <w:outlineLvl w:val="1"/>
        <w:rPr>
          <w:rFonts w:ascii="PT Astra Serif" w:hAnsi="PT Astra Serif"/>
          <w:sz w:val="28"/>
          <w:szCs w:val="28"/>
        </w:rPr>
      </w:pPr>
      <w:r>
        <w:rPr>
          <w:rFonts w:ascii="PT Astra Serif" w:hAnsi="PT Astra Serif"/>
          <w:sz w:val="28"/>
          <w:szCs w:val="28"/>
        </w:rPr>
        <w:t>К проекту муниципального правового акта о выделении бюджетных ассигнований резервного фонда в обязательном порядке прилагаются документы, послужившие основанием для выделения средств резервного фонда, а также содержащие его финансово-экономическое обоснование.</w:t>
      </w:r>
    </w:p>
    <w:p>
      <w:pPr>
        <w:pStyle w:val="a3"/>
        <w:tabs>
          <w:tab w:val="left" w:pos="567"/>
          <w:tab w:val="left" w:pos="993"/>
        </w:tabs>
        <w:adjustRightInd w:val="0"/>
        <w:ind w:left="0" w:firstLine="709"/>
        <w:jc w:val="both"/>
        <w:outlineLvl w:val="1"/>
        <w:rPr>
          <w:rFonts w:ascii="PT Astra Serif" w:hAnsi="PT Astra Serif"/>
          <w:sz w:val="28"/>
          <w:szCs w:val="28"/>
        </w:rPr>
      </w:pPr>
    </w:p>
    <w:p>
      <w:pPr>
        <w:pStyle w:val="a3"/>
        <w:numPr>
          <w:ilvl w:val="0"/>
          <w:numId w:val="6"/>
        </w:numPr>
        <w:tabs>
          <w:tab w:val="left" w:pos="0"/>
        </w:tabs>
        <w:ind w:left="0" w:right="-5" w:firstLine="142"/>
        <w:jc w:val="center"/>
        <w:rPr>
          <w:rFonts w:ascii="PT Astra Serif" w:hAnsi="PT Astra Serif"/>
          <w:b/>
          <w:sz w:val="28"/>
          <w:szCs w:val="28"/>
        </w:rPr>
      </w:pPr>
      <w:r>
        <w:rPr>
          <w:rFonts w:ascii="PT Astra Serif" w:hAnsi="PT Astra Serif"/>
          <w:b/>
          <w:sz w:val="28"/>
          <w:szCs w:val="28"/>
        </w:rPr>
        <w:t>Осуществление контроля за использованием</w:t>
      </w:r>
    </w:p>
    <w:p>
      <w:pPr>
        <w:tabs>
          <w:tab w:val="left" w:pos="0"/>
        </w:tabs>
        <w:ind w:right="-5" w:firstLine="0"/>
        <w:jc w:val="center"/>
        <w:rPr>
          <w:rFonts w:ascii="PT Astra Serif" w:hAnsi="PT Astra Serif"/>
          <w:b/>
          <w:sz w:val="28"/>
          <w:szCs w:val="28"/>
        </w:rPr>
      </w:pPr>
      <w:r>
        <w:rPr>
          <w:rFonts w:ascii="PT Astra Serif" w:hAnsi="PT Astra Serif"/>
          <w:b/>
          <w:sz w:val="28"/>
          <w:szCs w:val="28"/>
        </w:rPr>
        <w:t>бюджетных ассигнований резервного фонда</w:t>
      </w:r>
    </w:p>
    <w:p>
      <w:pPr>
        <w:pStyle w:val="a3"/>
        <w:tabs>
          <w:tab w:val="left" w:pos="567"/>
          <w:tab w:val="left" w:pos="993"/>
        </w:tabs>
        <w:adjustRightInd w:val="0"/>
        <w:ind w:left="0" w:firstLine="709"/>
        <w:jc w:val="both"/>
        <w:outlineLvl w:val="1"/>
        <w:rPr>
          <w:rFonts w:ascii="PT Astra Serif" w:hAnsi="PT Astra Serif"/>
          <w:sz w:val="28"/>
          <w:szCs w:val="28"/>
          <w:lang w:val="en-US"/>
        </w:rPr>
      </w:pPr>
    </w:p>
    <w:p>
      <w:pPr>
        <w:pStyle w:val="a3"/>
        <w:numPr>
          <w:ilvl w:val="1"/>
          <w:numId w:val="13"/>
        </w:numPr>
        <w:tabs>
          <w:tab w:val="left" w:pos="0"/>
          <w:tab w:val="left" w:pos="851"/>
          <w:tab w:val="left" w:pos="993"/>
        </w:tabs>
        <w:ind w:left="0" w:firstLine="709"/>
        <w:jc w:val="both"/>
        <w:outlineLvl w:val="1"/>
        <w:rPr>
          <w:rFonts w:ascii="PT Astra Serif" w:hAnsi="PT Astra Serif"/>
          <w:strike/>
          <w:sz w:val="28"/>
          <w:szCs w:val="28"/>
        </w:rPr>
      </w:pPr>
      <w:r>
        <w:rPr>
          <w:rFonts w:ascii="PT Astra Serif" w:hAnsi="PT Astra Serif"/>
          <w:sz w:val="28"/>
          <w:szCs w:val="28"/>
        </w:rPr>
        <w:t xml:space="preserve">Выделенные бюджетные ассигнования резервного фонда подлежат использованию по целевому назначению, установленному распоряжением Администрации Тазовского района. </w:t>
      </w:r>
    </w:p>
    <w:p>
      <w:pPr>
        <w:tabs>
          <w:tab w:val="left" w:pos="709"/>
        </w:tabs>
        <w:ind w:firstLine="709"/>
        <w:outlineLvl w:val="1"/>
        <w:rPr>
          <w:rFonts w:ascii="PT Astra Serif" w:hAnsi="PT Astra Serif" w:cs="Times New Roman"/>
          <w:sz w:val="28"/>
          <w:szCs w:val="28"/>
        </w:rPr>
      </w:pPr>
      <w:r>
        <w:rPr>
          <w:rFonts w:ascii="PT Astra Serif" w:hAnsi="PT Astra Serif" w:cs="Times New Roman"/>
          <w:sz w:val="28"/>
          <w:szCs w:val="28"/>
        </w:rPr>
        <w:t>Главные распорядители средств местного бюджета, в распоряжение которых выделены бюджетные ассигнования резервного фонда, а также получатели средств резервного фонда несут ответственность за нецелевое использование бюджетных средств в соответствии с законодательством Российской Федерации.</w:t>
      </w:r>
    </w:p>
    <w:p>
      <w:pPr>
        <w:tabs>
          <w:tab w:val="left" w:pos="709"/>
        </w:tabs>
        <w:ind w:firstLine="709"/>
        <w:outlineLvl w:val="1"/>
        <w:rPr>
          <w:rFonts w:ascii="PT Astra Serif" w:hAnsi="PT Astra Serif" w:cs="Times New Roman"/>
          <w:sz w:val="28"/>
          <w:szCs w:val="28"/>
        </w:rPr>
      </w:pPr>
      <w:r>
        <w:rPr>
          <w:rFonts w:ascii="PT Astra Serif" w:hAnsi="PT Astra Serif" w:cs="Times New Roman"/>
          <w:sz w:val="28"/>
          <w:szCs w:val="28"/>
        </w:rPr>
        <w:t>Средства резервного фонда в случае установления факта их нецелевого использования, а также остатки неиспользованных средств подлежат возврату                          в местный бюджет, в порядке, установленном законодательством Российской Федерации.</w:t>
      </w:r>
    </w:p>
    <w:p>
      <w:pPr>
        <w:pStyle w:val="a3"/>
        <w:numPr>
          <w:ilvl w:val="1"/>
          <w:numId w:val="13"/>
        </w:numPr>
        <w:tabs>
          <w:tab w:val="left" w:pos="1418"/>
        </w:tabs>
        <w:ind w:left="0" w:firstLine="709"/>
        <w:jc w:val="both"/>
        <w:outlineLvl w:val="1"/>
        <w:rPr>
          <w:rFonts w:ascii="PT Astra Serif" w:eastAsiaTheme="minorHAnsi" w:hAnsi="PT Astra Serif" w:cs="PT Astra Serif"/>
          <w:sz w:val="28"/>
          <w:szCs w:val="28"/>
          <w:lang w:eastAsia="en-US"/>
        </w:rPr>
      </w:pPr>
      <w:r>
        <w:rPr>
          <w:rFonts w:ascii="PT Astra Serif" w:hAnsi="PT Astra Serif"/>
          <w:sz w:val="28"/>
          <w:szCs w:val="28"/>
        </w:rPr>
        <w:t xml:space="preserve">Главные распорядители средств местного бюджета, в распоряжение которых выделены бюджетные ассигнования резервного фонда, в месячный </w:t>
      </w:r>
      <w:r>
        <w:rPr>
          <w:rFonts w:ascii="PT Astra Serif" w:hAnsi="PT Astra Serif"/>
          <w:sz w:val="28"/>
          <w:szCs w:val="28"/>
        </w:rPr>
        <w:lastRenderedPageBreak/>
        <w:t xml:space="preserve">срок после проведения соответствующих мероприятий представляют                                в Администрацию Тазовского района отчет о целевом использовании бюджетных ассигнований согласно приложению № 1 к настоящему                       Порядку с приложением необходимых подтверждающих документов (договоры, муниципальные контракты, накладные или универсальные передаточные документы (УПД), счета, счета-фактуры, акты, платежные поручения).   </w:t>
      </w:r>
    </w:p>
    <w:p>
      <w:pPr>
        <w:pStyle w:val="a3"/>
        <w:numPr>
          <w:ilvl w:val="1"/>
          <w:numId w:val="13"/>
        </w:numPr>
        <w:tabs>
          <w:tab w:val="left" w:pos="1418"/>
        </w:tabs>
        <w:ind w:left="0" w:firstLine="709"/>
        <w:jc w:val="both"/>
        <w:rPr>
          <w:rFonts w:ascii="PT Astra Serif" w:hAnsi="PT Astra Serif"/>
          <w:sz w:val="28"/>
          <w:szCs w:val="28"/>
        </w:rPr>
      </w:pPr>
      <w:r>
        <w:rPr>
          <w:rFonts w:ascii="PT Astra Serif" w:eastAsiaTheme="minorHAnsi" w:hAnsi="PT Astra Serif" w:cs="PT Astra Serif"/>
          <w:sz w:val="28"/>
          <w:szCs w:val="28"/>
          <w:lang w:eastAsia="en-US"/>
        </w:rPr>
        <w:t>Ежеквартально, до 5 числа месяца, следующего за отчетным кварталом (годовой отчет до 20 января),</w:t>
      </w:r>
      <w:r>
        <w:rPr>
          <w:rFonts w:ascii="PT Astra Serif" w:hAnsi="PT Astra Serif"/>
          <w:sz w:val="28"/>
          <w:szCs w:val="28"/>
        </w:rPr>
        <w:t xml:space="preserve"> Администрация Тазовского района представляет отчет о расходовании бюджетных ассигнований резервного фонда в департамент финансов Администрации Тазовского района согласно приложению № 2 к настоящему Порядку.</w:t>
      </w:r>
    </w:p>
    <w:p>
      <w:pPr>
        <w:pStyle w:val="a3"/>
        <w:tabs>
          <w:tab w:val="left" w:pos="1134"/>
        </w:tabs>
        <w:adjustRightInd w:val="0"/>
        <w:ind w:left="0" w:firstLine="709"/>
        <w:jc w:val="both"/>
        <w:outlineLvl w:val="1"/>
        <w:rPr>
          <w:rFonts w:ascii="PT Astra Serif" w:hAnsi="PT Astra Serif"/>
          <w:sz w:val="28"/>
          <w:szCs w:val="28"/>
        </w:rPr>
      </w:pPr>
      <w:r>
        <w:rPr>
          <w:rFonts w:ascii="PT Astra Serif" w:hAnsi="PT Astra Serif"/>
          <w:sz w:val="28"/>
          <w:szCs w:val="28"/>
        </w:rPr>
        <w:t>Контроль за целевым использованием бюджетных ассигнований, выделенных из резервного фонда, осуществляет главный распорядитель средств местного бюджета, указанный в распоряжении Администрации Тазовского района о выделении бюджетных ассигнований резервного фонда.</w:t>
      </w:r>
    </w:p>
    <w:sectPr>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958733"/>
      <w:docPartObj>
        <w:docPartGallery w:val="Page Numbers (Top of Page)"/>
        <w:docPartUnique/>
      </w:docPartObj>
    </w:sdtPr>
    <w:sdtEndPr>
      <w:rPr>
        <w:rFonts w:ascii="PT Astra Serif" w:hAnsi="PT Astra Serif"/>
      </w:rPr>
    </w:sdtEndPr>
    <w:sdtContent>
      <w:p>
        <w:pPr>
          <w:pStyle w:val="a5"/>
          <w:jc w:val="center"/>
          <w:rPr>
            <w:rFonts w:ascii="PT Astra Serif" w:hAnsi="PT Astra Serif"/>
          </w:rPr>
        </w:pPr>
        <w:r>
          <w:rPr>
            <w:rFonts w:ascii="PT Astra Serif" w:hAnsi="PT Astra Serif"/>
          </w:rPr>
          <w:fldChar w:fldCharType="begin"/>
        </w:r>
        <w:r>
          <w:rPr>
            <w:rFonts w:ascii="PT Astra Serif" w:hAnsi="PT Astra Serif"/>
          </w:rPr>
          <w:instrText>PAGE   \* MERGEFORMAT</w:instrText>
        </w:r>
        <w:r>
          <w:rPr>
            <w:rFonts w:ascii="PT Astra Serif" w:hAnsi="PT Astra Serif"/>
          </w:rPr>
          <w:fldChar w:fldCharType="separate"/>
        </w:r>
        <w:r>
          <w:rPr>
            <w:rFonts w:ascii="PT Astra Serif" w:hAnsi="PT Astra Serif"/>
            <w:noProof/>
          </w:rPr>
          <w:t>3</w:t>
        </w:r>
        <w:r>
          <w:rPr>
            <w:rFonts w:ascii="PT Astra Serif" w:hAnsi="PT Astra Serif"/>
          </w:rPr>
          <w:fldChar w:fldCharType="end"/>
        </w:r>
      </w:p>
    </w:sdtContent>
  </w:sdt>
  <w:p>
    <w:pPr>
      <w:pStyle w:val="a5"/>
      <w:rPr>
        <w:rFonts w:ascii="PT Astra Serif" w:hAnsi="PT Astra Seri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03CDA"/>
    <w:multiLevelType w:val="hybridMultilevel"/>
    <w:tmpl w:val="637AA576"/>
    <w:lvl w:ilvl="0" w:tplc="8BB2CA3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53650F"/>
    <w:multiLevelType w:val="multilevel"/>
    <w:tmpl w:val="24C2A20E"/>
    <w:lvl w:ilvl="0">
      <w:start w:val="3"/>
      <w:numFmt w:val="upperRoman"/>
      <w:lvlText w:val="%1."/>
      <w:lvlJc w:val="right"/>
      <w:pPr>
        <w:ind w:left="1069" w:hanging="360"/>
      </w:pPr>
      <w:rPr>
        <w:rFonts w:hint="default"/>
      </w:rPr>
    </w:lvl>
    <w:lvl w:ilvl="1">
      <w:start w:val="3"/>
      <w:numFmt w:val="decimal"/>
      <w:isLgl/>
      <w:lvlText w:val="%1.%2."/>
      <w:lvlJc w:val="left"/>
      <w:pPr>
        <w:ind w:left="2029" w:hanging="1320"/>
      </w:pPr>
      <w:rPr>
        <w:rFonts w:hint="default"/>
      </w:rPr>
    </w:lvl>
    <w:lvl w:ilvl="2">
      <w:start w:val="1"/>
      <w:numFmt w:val="decimal"/>
      <w:isLgl/>
      <w:lvlText w:val="%1.%2.%3."/>
      <w:lvlJc w:val="left"/>
      <w:pPr>
        <w:ind w:left="2029" w:hanging="1320"/>
      </w:pPr>
      <w:rPr>
        <w:rFonts w:hint="default"/>
      </w:rPr>
    </w:lvl>
    <w:lvl w:ilvl="3">
      <w:start w:val="1"/>
      <w:numFmt w:val="decimal"/>
      <w:isLgl/>
      <w:lvlText w:val="%1.%2.%3.%4."/>
      <w:lvlJc w:val="left"/>
      <w:pPr>
        <w:ind w:left="2029" w:hanging="1320"/>
      </w:pPr>
      <w:rPr>
        <w:rFonts w:hint="default"/>
      </w:rPr>
    </w:lvl>
    <w:lvl w:ilvl="4">
      <w:start w:val="1"/>
      <w:numFmt w:val="decimal"/>
      <w:isLgl/>
      <w:lvlText w:val="%1.%2.%3.%4.%5."/>
      <w:lvlJc w:val="left"/>
      <w:pPr>
        <w:ind w:left="2029" w:hanging="132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145839EE"/>
    <w:multiLevelType w:val="multilevel"/>
    <w:tmpl w:val="58623950"/>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1854151D"/>
    <w:multiLevelType w:val="multilevel"/>
    <w:tmpl w:val="31C6E576"/>
    <w:lvl w:ilvl="0">
      <w:start w:val="1"/>
      <w:numFmt w:val="upperRoman"/>
      <w:lvlText w:val="%1."/>
      <w:lvlJc w:val="left"/>
      <w:pPr>
        <w:ind w:left="1080" w:hanging="720"/>
      </w:pPr>
      <w:rPr>
        <w:rFonts w:cs="Times New Roman" w:hint="default"/>
      </w:rPr>
    </w:lvl>
    <w:lvl w:ilvl="1">
      <w:start w:val="1"/>
      <w:numFmt w:val="decimal"/>
      <w:isLgl/>
      <w:lvlText w:val="%1.%2."/>
      <w:lvlJc w:val="left"/>
      <w:pPr>
        <w:ind w:left="1954" w:hanging="1245"/>
      </w:pPr>
      <w:rPr>
        <w:rFonts w:hint="default"/>
        <w:strike w:val="0"/>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D9B677C"/>
    <w:multiLevelType w:val="multilevel"/>
    <w:tmpl w:val="31C6E576"/>
    <w:lvl w:ilvl="0">
      <w:start w:val="1"/>
      <w:numFmt w:val="upperRoman"/>
      <w:lvlText w:val="%1."/>
      <w:lvlJc w:val="left"/>
      <w:pPr>
        <w:ind w:left="1080" w:hanging="720"/>
      </w:pPr>
      <w:rPr>
        <w:rFonts w:cs="Times New Roman" w:hint="default"/>
      </w:rPr>
    </w:lvl>
    <w:lvl w:ilvl="1">
      <w:start w:val="1"/>
      <w:numFmt w:val="decimal"/>
      <w:isLgl/>
      <w:lvlText w:val="%1.%2."/>
      <w:lvlJc w:val="left"/>
      <w:pPr>
        <w:ind w:left="1954" w:hanging="1245"/>
      </w:pPr>
      <w:rPr>
        <w:rFonts w:hint="default"/>
        <w:strike w:val="0"/>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26247AD6"/>
    <w:multiLevelType w:val="hybridMultilevel"/>
    <w:tmpl w:val="6024B4CC"/>
    <w:lvl w:ilvl="0" w:tplc="E6E2E7D4">
      <w:start w:val="1"/>
      <w:numFmt w:val="decimal"/>
      <w:lvlText w:val="%1."/>
      <w:lvlJc w:val="left"/>
      <w:pPr>
        <w:ind w:left="928" w:hanging="360"/>
      </w:pPr>
      <w:rPr>
        <w:rFonts w:cs="Times New Roman" w:hint="default"/>
        <w:strike w:val="0"/>
        <w:color w:val="auto"/>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
    <w:nsid w:val="2A5419B5"/>
    <w:multiLevelType w:val="hybridMultilevel"/>
    <w:tmpl w:val="DA243AB8"/>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CBF5195"/>
    <w:multiLevelType w:val="hybridMultilevel"/>
    <w:tmpl w:val="AF18E23A"/>
    <w:lvl w:ilvl="0" w:tplc="8BB2CA3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483027B0"/>
    <w:multiLevelType w:val="hybridMultilevel"/>
    <w:tmpl w:val="AC88659A"/>
    <w:lvl w:ilvl="0" w:tplc="42DAF0E4">
      <w:start w:val="1"/>
      <w:numFmt w:val="russianLower"/>
      <w:lvlText w:val="%1)"/>
      <w:lvlJc w:val="left"/>
      <w:pPr>
        <w:ind w:left="2280"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52E74133"/>
    <w:multiLevelType w:val="multilevel"/>
    <w:tmpl w:val="AE5A4736"/>
    <w:lvl w:ilvl="0">
      <w:start w:val="4"/>
      <w:numFmt w:val="decimal"/>
      <w:lvlText w:val="%1."/>
      <w:lvlJc w:val="left"/>
      <w:pPr>
        <w:ind w:left="450" w:hanging="450"/>
      </w:pPr>
      <w:rPr>
        <w:rFonts w:hint="default"/>
      </w:rPr>
    </w:lvl>
    <w:lvl w:ilvl="1">
      <w:start w:val="1"/>
      <w:numFmt w:val="decimal"/>
      <w:lvlText w:val="%1.%2."/>
      <w:lvlJc w:val="left"/>
      <w:pPr>
        <w:ind w:left="2749" w:hanging="720"/>
      </w:pPr>
      <w:rPr>
        <w:rFonts w:hint="default"/>
        <w:strike w:val="0"/>
      </w:rPr>
    </w:lvl>
    <w:lvl w:ilvl="2">
      <w:start w:val="1"/>
      <w:numFmt w:val="decimal"/>
      <w:lvlText w:val="%1.%2.%3."/>
      <w:lvlJc w:val="left"/>
      <w:pPr>
        <w:ind w:left="4778" w:hanging="720"/>
      </w:pPr>
      <w:rPr>
        <w:rFonts w:hint="default"/>
      </w:rPr>
    </w:lvl>
    <w:lvl w:ilvl="3">
      <w:start w:val="1"/>
      <w:numFmt w:val="decimal"/>
      <w:lvlText w:val="%1.%2.%3.%4."/>
      <w:lvlJc w:val="left"/>
      <w:pPr>
        <w:ind w:left="7167" w:hanging="1080"/>
      </w:pPr>
      <w:rPr>
        <w:rFonts w:hint="default"/>
      </w:rPr>
    </w:lvl>
    <w:lvl w:ilvl="4">
      <w:start w:val="1"/>
      <w:numFmt w:val="decimal"/>
      <w:lvlText w:val="%1.%2.%3.%4.%5."/>
      <w:lvlJc w:val="left"/>
      <w:pPr>
        <w:ind w:left="9196" w:hanging="1080"/>
      </w:pPr>
      <w:rPr>
        <w:rFonts w:hint="default"/>
      </w:rPr>
    </w:lvl>
    <w:lvl w:ilvl="5">
      <w:start w:val="1"/>
      <w:numFmt w:val="decimal"/>
      <w:lvlText w:val="%1.%2.%3.%4.%5.%6."/>
      <w:lvlJc w:val="left"/>
      <w:pPr>
        <w:ind w:left="11585" w:hanging="1440"/>
      </w:pPr>
      <w:rPr>
        <w:rFonts w:hint="default"/>
      </w:rPr>
    </w:lvl>
    <w:lvl w:ilvl="6">
      <w:start w:val="1"/>
      <w:numFmt w:val="decimal"/>
      <w:lvlText w:val="%1.%2.%3.%4.%5.%6.%7."/>
      <w:lvlJc w:val="left"/>
      <w:pPr>
        <w:ind w:left="13974" w:hanging="1800"/>
      </w:pPr>
      <w:rPr>
        <w:rFonts w:hint="default"/>
      </w:rPr>
    </w:lvl>
    <w:lvl w:ilvl="7">
      <w:start w:val="1"/>
      <w:numFmt w:val="decimal"/>
      <w:lvlText w:val="%1.%2.%3.%4.%5.%6.%7.%8."/>
      <w:lvlJc w:val="left"/>
      <w:pPr>
        <w:ind w:left="16003" w:hanging="1800"/>
      </w:pPr>
      <w:rPr>
        <w:rFonts w:hint="default"/>
      </w:rPr>
    </w:lvl>
    <w:lvl w:ilvl="8">
      <w:start w:val="1"/>
      <w:numFmt w:val="decimal"/>
      <w:lvlText w:val="%1.%2.%3.%4.%5.%6.%7.%8.%9."/>
      <w:lvlJc w:val="left"/>
      <w:pPr>
        <w:ind w:left="18392" w:hanging="2160"/>
      </w:pPr>
      <w:rPr>
        <w:rFonts w:hint="default"/>
      </w:rPr>
    </w:lvl>
  </w:abstractNum>
  <w:abstractNum w:abstractNumId="10">
    <w:nsid w:val="69011D63"/>
    <w:multiLevelType w:val="hybridMultilevel"/>
    <w:tmpl w:val="09EC0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4772B3"/>
    <w:multiLevelType w:val="hybridMultilevel"/>
    <w:tmpl w:val="2F10CDBE"/>
    <w:lvl w:ilvl="0" w:tplc="42DAF0E4">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6E963679"/>
    <w:multiLevelType w:val="hybridMultilevel"/>
    <w:tmpl w:val="78BA120A"/>
    <w:lvl w:ilvl="0" w:tplc="8E48DD8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0"/>
  </w:num>
  <w:num w:numId="3">
    <w:abstractNumId w:val="7"/>
  </w:num>
  <w:num w:numId="4">
    <w:abstractNumId w:val="5"/>
  </w:num>
  <w:num w:numId="5">
    <w:abstractNumId w:val="12"/>
  </w:num>
  <w:num w:numId="6">
    <w:abstractNumId w:val="1"/>
  </w:num>
  <w:num w:numId="7">
    <w:abstractNumId w:val="10"/>
  </w:num>
  <w:num w:numId="8">
    <w:abstractNumId w:val="4"/>
  </w:num>
  <w:num w:numId="9">
    <w:abstractNumId w:val="8"/>
  </w:num>
  <w:num w:numId="10">
    <w:abstractNumId w:val="6"/>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AA759-9E52-432E-ACFA-07233A881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widowControl/>
      <w:adjustRightInd/>
      <w:ind w:left="720" w:firstLine="0"/>
      <w:contextualSpacing/>
      <w:jc w:val="left"/>
    </w:pPr>
    <w:rPr>
      <w:rFonts w:ascii="Times New Roman" w:hAnsi="Times New Roman" w:cs="Times New Roman"/>
      <w:sz w:val="20"/>
      <w:szCs w:val="20"/>
    </w:rPr>
  </w:style>
  <w:style w:type="paragraph" w:styleId="a4">
    <w:name w:val="No Spacing"/>
    <w:uiPriority w:val="1"/>
    <w:qFormat/>
    <w:pPr>
      <w:spacing w:after="0" w:line="240" w:lineRule="auto"/>
    </w:pPr>
    <w:rPr>
      <w:rFonts w:eastAsiaTheme="minorEastAsia"/>
    </w:rPr>
  </w:style>
  <w:style w:type="paragraph" w:styleId="a5">
    <w:name w:val="header"/>
    <w:basedOn w:val="a"/>
    <w:link w:val="a6"/>
    <w:uiPriority w:val="99"/>
    <w:unhideWhenUsed/>
    <w:pPr>
      <w:tabs>
        <w:tab w:val="center" w:pos="4677"/>
        <w:tab w:val="right" w:pos="9355"/>
      </w:tabs>
    </w:pPr>
  </w:style>
  <w:style w:type="character" w:customStyle="1" w:styleId="a6">
    <w:name w:val="Верхний колонтитул Знак"/>
    <w:basedOn w:val="a0"/>
    <w:link w:val="a5"/>
    <w:uiPriority w:val="99"/>
    <w:rPr>
      <w:rFonts w:ascii="Arial" w:eastAsiaTheme="minorEastAsia" w:hAnsi="Arial" w:cs="Arial"/>
      <w:sz w:val="24"/>
      <w:szCs w:val="24"/>
      <w:lang w:eastAsia="ru-RU"/>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ascii="Arial" w:eastAsiaTheme="minorEastAsia" w:hAnsi="Arial" w:cs="Arial"/>
      <w:sz w:val="24"/>
      <w:szCs w:val="24"/>
      <w:lang w:eastAsia="ru-RU"/>
    </w:rPr>
  </w:style>
  <w:style w:type="paragraph" w:styleId="a9">
    <w:name w:val="Balloon Text"/>
    <w:basedOn w:val="a"/>
    <w:link w:val="aa"/>
    <w:uiPriority w:val="99"/>
    <w:semiHidden/>
    <w:unhideWhenUsed/>
    <w:rPr>
      <w:rFonts w:ascii="Segoe UI" w:hAnsi="Segoe UI" w:cs="Segoe UI"/>
      <w:sz w:val="18"/>
      <w:szCs w:val="18"/>
    </w:rPr>
  </w:style>
  <w:style w:type="character" w:customStyle="1" w:styleId="aa">
    <w:name w:val="Текст выноски Знак"/>
    <w:basedOn w:val="a0"/>
    <w:link w:val="a9"/>
    <w:uiPriority w:val="99"/>
    <w:semiHidden/>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906;n=40158;fld=134;dst=100029" TargetMode="External"/><Relationship Id="rId3" Type="http://schemas.openxmlformats.org/officeDocument/2006/relationships/settings" Target="settings.xml"/><Relationship Id="rId7" Type="http://schemas.openxmlformats.org/officeDocument/2006/relationships/hyperlink" Target="consultantplus://offline/main?base=RLAW906;n=40158;fld=134;dst=1000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1</Pages>
  <Words>1664</Words>
  <Characters>9491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dc:creator>
  <cp:keywords/>
  <dc:description/>
  <cp:lastModifiedBy>Фадеева Алена Михайловна</cp:lastModifiedBy>
  <cp:revision>183</cp:revision>
  <cp:lastPrinted>2021-04-14T09:28:00Z</cp:lastPrinted>
  <dcterms:created xsi:type="dcterms:W3CDTF">2021-02-03T09:10:00Z</dcterms:created>
  <dcterms:modified xsi:type="dcterms:W3CDTF">2021-04-14T09:28:00Z</dcterms:modified>
</cp:coreProperties>
</file>