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07"/>
        <w:gridCol w:w="3781"/>
        <w:gridCol w:w="709"/>
        <w:gridCol w:w="2126"/>
      </w:tblGrid>
      <w:tr>
        <w:tc>
          <w:tcPr>
            <w:tcW w:w="9923" w:type="dxa"/>
            <w:gridSpan w:val="4"/>
            <w:hideMark/>
          </w:tcPr>
          <w:p>
            <w:pPr>
              <w:spacing w:before="240" w:after="60" w:line="240" w:lineRule="auto"/>
              <w:ind w:left="-108" w:right="-108"/>
              <w:jc w:val="center"/>
              <w:outlineLvl w:val="4"/>
              <w:rPr>
                <w:rFonts w:ascii="PT Astra Serif" w:eastAsia="Times New Roman" w:hAnsi="PT Astra Serif" w:cs="Times New Roman"/>
                <w:bCs/>
                <w:iCs/>
                <w:color w:val="365F91"/>
                <w:sz w:val="16"/>
                <w:szCs w:val="16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/>
                <w:i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81025" cy="647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9923" w:type="dxa"/>
            <w:gridSpan w:val="4"/>
            <w:hideMark/>
          </w:tcPr>
          <w:p>
            <w:pPr>
              <w:spacing w:before="240" w:after="60" w:line="360" w:lineRule="auto"/>
              <w:jc w:val="center"/>
              <w:outlineLvl w:val="4"/>
              <w:rPr>
                <w:rFonts w:ascii="PT Astra Serif" w:eastAsia="Times New Roman" w:hAnsi="PT Astra Serif" w:cs="Times New Roman"/>
                <w:b/>
                <w:bCs/>
                <w:iCs/>
                <w:color w:val="365F91"/>
                <w:sz w:val="40"/>
                <w:szCs w:val="4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365F91"/>
                <w:sz w:val="40"/>
                <w:szCs w:val="40"/>
                <w:lang w:eastAsia="ru-RU"/>
              </w:rPr>
              <w:t>ГЛАВА  ТАЗОВСКОГО  РАЙОНА</w:t>
            </w:r>
          </w:p>
        </w:tc>
      </w:tr>
      <w:tr>
        <w:trPr>
          <w:cantSplit/>
          <w:trHeight w:val="670"/>
        </w:trPr>
        <w:tc>
          <w:tcPr>
            <w:tcW w:w="9923" w:type="dxa"/>
            <w:gridSpan w:val="4"/>
            <w:vAlign w:val="bottom"/>
            <w:hideMark/>
          </w:tcPr>
          <w:p>
            <w:pPr>
              <w:spacing w:before="240" w:after="6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b/>
                <w:bCs/>
                <w:iCs/>
                <w:color w:val="365F91"/>
                <w:sz w:val="44"/>
                <w:szCs w:val="4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iCs/>
                <w:color w:val="365F91"/>
                <w:spacing w:val="34"/>
                <w:sz w:val="44"/>
                <w:szCs w:val="44"/>
                <w:lang w:eastAsia="ru-RU"/>
              </w:rPr>
              <w:t>РАСПОРЯЖЕНИЕ</w:t>
            </w:r>
          </w:p>
        </w:tc>
      </w:tr>
      <w:tr>
        <w:trPr>
          <w:cantSplit/>
          <w:trHeight w:val="670"/>
        </w:trPr>
        <w:tc>
          <w:tcPr>
            <w:tcW w:w="9923" w:type="dxa"/>
            <w:gridSpan w:val="4"/>
            <w:vAlign w:val="bottom"/>
          </w:tcPr>
          <w:p>
            <w:pPr>
              <w:spacing w:after="0" w:line="240" w:lineRule="auto"/>
              <w:jc w:val="center"/>
              <w:outlineLvl w:val="4"/>
              <w:rPr>
                <w:rFonts w:ascii="PT Astra Serif" w:eastAsia="Times New Roman" w:hAnsi="PT Astra Serif" w:cs="Times New Roman"/>
                <w:b/>
                <w:bCs/>
                <w:iCs/>
                <w:color w:val="365F91"/>
                <w:spacing w:val="34"/>
                <w:sz w:val="16"/>
                <w:szCs w:val="16"/>
                <w:lang w:eastAsia="ru-RU"/>
              </w:rPr>
            </w:pPr>
          </w:p>
        </w:tc>
      </w:tr>
      <w:tr>
        <w:trPr>
          <w:trHeight w:val="233"/>
        </w:trPr>
        <w:tc>
          <w:tcPr>
            <w:tcW w:w="3307" w:type="dxa"/>
            <w:tcBorders>
              <w:bottom w:val="single" w:sz="4" w:space="0" w:color="auto"/>
            </w:tcBorders>
            <w:vAlign w:val="bottom"/>
            <w:hideMark/>
          </w:tcPr>
          <w:p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марта 2020 года</w:t>
            </w:r>
          </w:p>
        </w:tc>
        <w:tc>
          <w:tcPr>
            <w:tcW w:w="3781" w:type="dxa"/>
            <w:tcBorders>
              <w:left w:val="nil"/>
            </w:tcBorders>
            <w:vAlign w:val="bottom"/>
          </w:tcPr>
          <w:p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>
            <w:pPr>
              <w:tabs>
                <w:tab w:val="left" w:pos="3720"/>
              </w:tabs>
              <w:spacing w:after="0" w:line="240" w:lineRule="auto"/>
              <w:ind w:left="-108" w:righ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16-рг</w:t>
            </w:r>
          </w:p>
        </w:tc>
      </w:tr>
    </w:tbl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b w:val="0"/>
          <w:color w:val="000000"/>
          <w:sz w:val="28"/>
          <w:szCs w:val="28"/>
        </w:rPr>
      </w:pPr>
    </w:p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b w:val="0"/>
          <w:color w:val="000000"/>
          <w:sz w:val="28"/>
          <w:szCs w:val="28"/>
        </w:rPr>
      </w:pPr>
      <w:r>
        <w:rPr>
          <w:rFonts w:ascii="PT Astra Serif" w:hAnsi="PT Astra Serif"/>
          <w:b w:val="0"/>
          <w:color w:val="000000"/>
          <w:sz w:val="28"/>
          <w:szCs w:val="28"/>
        </w:rPr>
        <w:t>п. Тазовский</w:t>
      </w:r>
    </w:p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b w:val="0"/>
          <w:color w:val="000000"/>
          <w:sz w:val="28"/>
          <w:szCs w:val="28"/>
        </w:rPr>
      </w:pPr>
      <w:bookmarkStart w:id="0" w:name="_GoBack"/>
      <w:bookmarkEnd w:id="0"/>
    </w:p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Об организации работы с сообщениями граждан и организаций, поступающими Губернатору Ямало-Ненецкого автономного округа, </w:t>
      </w:r>
    </w:p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Главе Тазовского района на официальные аккаунты Губернатора </w:t>
      </w:r>
    </w:p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Ямало-Ненецкого автономного округа, Главы Тазовского района</w:t>
      </w:r>
    </w:p>
    <w:p>
      <w:pPr>
        <w:pStyle w:val="40"/>
        <w:shd w:val="clear" w:color="auto" w:fill="auto"/>
        <w:spacing w:before="0" w:after="0" w:line="240" w:lineRule="auto"/>
        <w:ind w:right="-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в социальных сетях, а также в ходе проведения теле-радиоэфиров</w:t>
      </w:r>
    </w:p>
    <w:p>
      <w:pPr>
        <w:spacing w:after="0" w:line="240" w:lineRule="auto"/>
        <w:ind w:right="-1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ind w:right="-1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целях формирования системы эффективной обратной связи                                                         с населением, организации работы с сообщениями пользователей, поступающими через официальные страницы (аккаунты) в социальных сетях Губернатора Ямало-Ненецкого автономного округа, Главы Тазовского района, Администрации Тазовского района, в том числе в ходе подготовки                                                      и проведения теле-радиоэфиров, </w:t>
      </w:r>
      <w:r>
        <w:rPr>
          <w:rFonts w:ascii="PT Astra Serif" w:eastAsia="PMingLiU" w:hAnsi="PT Astra Serif" w:cs="Times New Roman"/>
          <w:sz w:val="28"/>
          <w:szCs w:val="28"/>
        </w:rPr>
        <w:t>на основании распоряжения Губернатора Ямало-Ненецкого автономного округа от 17 января 2020 года № 8-Р-ДСП</w:t>
      </w:r>
      <w:r>
        <w:rPr>
          <w:rFonts w:ascii="PT Astra Serif" w:hAnsi="PT Astra Serif" w:cs="Times New Roman"/>
          <w:sz w:val="28"/>
          <w:szCs w:val="28"/>
        </w:rPr>
        <w:t>, руководствуясь статьей 40 Устава муниципального образования Тазовский район: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Утвердить прилагаемый Регламент </w:t>
      </w:r>
      <w:r>
        <w:rPr>
          <w:rFonts w:ascii="PT Astra Serif" w:eastAsia="Times New Roman" w:hAnsi="PT Astra Serif" w:cs="Times New Roman"/>
          <w:color w:val="000000"/>
          <w:spacing w:val="-11"/>
          <w:sz w:val="28"/>
          <w:szCs w:val="28"/>
          <w:lang w:eastAsia="ru-RU"/>
        </w:rPr>
        <w:t xml:space="preserve">организации работы </w:t>
      </w:r>
      <w:r>
        <w:rPr>
          <w:rFonts w:ascii="PT Astra Serif" w:eastAsia="Times New Roman" w:hAnsi="PT Astra Serif" w:cs="Times New Roman"/>
          <w:bCs/>
          <w:color w:val="000000"/>
          <w:spacing w:val="-11"/>
          <w:sz w:val="28"/>
          <w:szCs w:val="28"/>
          <w:lang w:eastAsia="ru-RU"/>
        </w:rPr>
        <w:t xml:space="preserve">с </w:t>
      </w:r>
      <w:r>
        <w:rPr>
          <w:rFonts w:ascii="PT Astra Serif" w:eastAsia="Times New Roman" w:hAnsi="PT Astra Serif" w:cs="Times New Roman"/>
          <w:color w:val="000000"/>
          <w:spacing w:val="-11"/>
          <w:sz w:val="28"/>
          <w:szCs w:val="28"/>
          <w:lang w:eastAsia="ru-RU"/>
        </w:rPr>
        <w:t xml:space="preserve">сообщениями </w:t>
      </w:r>
      <w:r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  <w:lang w:eastAsia="ru-RU"/>
        </w:rPr>
        <w:t>граждан и организаций, поступающими</w:t>
      </w:r>
      <w:r>
        <w:rPr>
          <w:rFonts w:ascii="PT Astra Serif" w:eastAsia="Times New Roman" w:hAnsi="PT Astra Serif" w:cs="Times New Roman"/>
          <w:color w:val="000000"/>
          <w:spacing w:val="-4"/>
          <w:sz w:val="30"/>
          <w:szCs w:val="30"/>
          <w:lang w:eastAsia="ru-RU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через официальные страницы (аккаунты) в социальных сетях Губернатора Ямало-Ненецкого автономного округа, Главы Тазовского района, Администрации Тазовского района, в том числе в ходе подготовки и проведения теле-радиоэфиров (далее – регламент).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Определить начальника отдела информации и связей                                                                      с общественностью информационно-аналитического управления Администрации Тазовского района (на период временного отсутствия - главного специалиста отдела информации и связей с общественностью информационно-аналитического управления Администрации Тазовского района) ответственным за организацию рассмотрения сообщений граждан                      и организаций, поступающих на официальные страницы (аккаунты)                                                 в социальных сетях Губернатора Ямало-Ненецкого автономного округа, Главы Тазовского района, Администрации Тазовского района.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Определить начальника отдела делопроизводства и обращений граждан управления делами Администрации Тазовского района (на период временного отсутствия - старшего специалиста отдела делопроизводства                             </w:t>
      </w:r>
      <w:r>
        <w:rPr>
          <w:rFonts w:ascii="PT Astra Serif" w:hAnsi="PT Astra Serif" w:cs="Times New Roman"/>
          <w:sz w:val="28"/>
          <w:szCs w:val="28"/>
        </w:rPr>
        <w:lastRenderedPageBreak/>
        <w:t xml:space="preserve">и обращений граждан управления делами Администрации Тазовского района) ответственным за рассмотрение сообщений граждан и организаций, поступающих в ходе подготовки и проведения теле-радиоэфиров. 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  <w:t xml:space="preserve">Руководителям отраслевых (функциональных) органов и структурных подразделений Администрации Тазовского района, организаций, учреждений, указанных в приложении к регламенту: </w:t>
      </w:r>
    </w:p>
    <w:p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  <w:t xml:space="preserve">определить ответственных лиц (а также лиц, замещающих их                           на период временного отсутствия) за рассмотрение сообщений граждан                           и организаций, поступающих </w:t>
      </w:r>
      <w:r>
        <w:rPr>
          <w:rFonts w:ascii="PT Astra Serif" w:hAnsi="PT Astra Serif" w:cs="Times New Roman"/>
          <w:sz w:val="28"/>
          <w:szCs w:val="28"/>
        </w:rPr>
        <w:t>через официальные страницы (аккаунты)                           в социальных сетях Губернатора Ямало-Ненецкого автономного округа, Главы Тазовского района, Администрации Тазовского района, в том числе в ходе подготовки и проведения теле-радиоэфиров;</w:t>
      </w:r>
    </w:p>
    <w:p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color w:val="000000"/>
          <w:spacing w:val="-15"/>
          <w:sz w:val="28"/>
          <w:szCs w:val="28"/>
          <w:lang w:eastAsia="ru-RU"/>
        </w:rPr>
        <w:t xml:space="preserve">обеспечить подготовку мотивированных ответов на сообщения граждан                      и организаций, </w:t>
      </w:r>
      <w:r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  <w:t xml:space="preserve">поступающих </w:t>
      </w:r>
      <w:r>
        <w:rPr>
          <w:rFonts w:ascii="PT Astra Serif" w:hAnsi="PT Astra Serif" w:cs="Times New Roman"/>
          <w:sz w:val="28"/>
          <w:szCs w:val="28"/>
        </w:rPr>
        <w:t xml:space="preserve">через официальные страницы (аккаунты)                              в социальных сетях Губернатора Ямало-Ненецкого автономного округа, Главы Тазовского района, Администрации Тазовского района, в том числе в ходе подготовки и проведения теле-радиоэфиров. 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color w:val="000000"/>
          <w:spacing w:val="-15"/>
          <w:sz w:val="28"/>
          <w:szCs w:val="28"/>
          <w:lang w:eastAsia="ru-RU"/>
        </w:rPr>
        <w:t xml:space="preserve">Рекомендовать главам поселений муниципального образования Тазовский район назначить ответственных лиц (лиц, замещающих их на период временного отсутствия) за рассмотрение сообщений граждан и организаций подготовку проектов ответов на сообщения, </w:t>
      </w:r>
      <w:r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  <w:lang w:eastAsia="ru-RU"/>
        </w:rPr>
        <w:t>поступающие</w:t>
      </w:r>
      <w:r>
        <w:rPr>
          <w:rFonts w:ascii="PT Astra Serif" w:eastAsia="Times New Roman" w:hAnsi="PT Astra Serif" w:cs="Times New Roman"/>
          <w:color w:val="000000"/>
          <w:spacing w:val="-4"/>
          <w:sz w:val="30"/>
          <w:szCs w:val="30"/>
          <w:lang w:eastAsia="ru-RU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через официальные страницы (аккаунты)                                       в социальных сетях Губернатора Ямало-Ненецкого автономного округа, Главы Тазовского района, Администрации Тазовского района, в том числе в ходе подготовки и проведения теле-радиоэфиров. 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Информационно-аналитическому управлению Администрации Тазовского района:</w:t>
      </w:r>
    </w:p>
    <w:p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обеспечить контроль за подготовкой и содержанием ответов, подготовленных ответственными лицами на сообщения граждан и организаций, </w:t>
      </w:r>
      <w:r>
        <w:rPr>
          <w:rFonts w:ascii="PT Astra Serif" w:hAnsi="PT Astra Serif" w:cs="Times New Roman"/>
          <w:bCs/>
          <w:sz w:val="28"/>
          <w:szCs w:val="28"/>
        </w:rPr>
        <w:t xml:space="preserve">поступающих </w:t>
      </w:r>
      <w:r>
        <w:rPr>
          <w:rFonts w:ascii="PT Astra Serif" w:hAnsi="PT Astra Serif" w:cs="Times New Roman"/>
          <w:sz w:val="28"/>
          <w:szCs w:val="28"/>
        </w:rPr>
        <w:t>через официальные страницы (аккаунты) в социальных сетях Губернатора Ямало-Ненецкого автономного округа, Главы Тазовского района, Администрации Тазовского района;</w:t>
      </w:r>
    </w:p>
    <w:p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назначить ответственное лицо за исполнение подпункта 6.1 </w:t>
      </w:r>
      <w:r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  <w:t>(а также лицо, замещающее его на период временного отсутствия).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Управлению делами Администрации Тазовского района:</w:t>
      </w:r>
    </w:p>
    <w:p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обеспечить контроль за подготовкой и содержанием ответов, подготовленных ответственными лицами на сообщения граждан и организаций, </w:t>
      </w:r>
      <w:r>
        <w:rPr>
          <w:rFonts w:ascii="PT Astra Serif" w:hAnsi="PT Astra Serif" w:cs="Times New Roman"/>
          <w:bCs/>
          <w:sz w:val="28"/>
          <w:szCs w:val="28"/>
        </w:rPr>
        <w:t>поступающих</w:t>
      </w:r>
      <w:r>
        <w:rPr>
          <w:rFonts w:ascii="PT Astra Serif" w:hAnsi="PT Astra Serif" w:cs="Times New Roman"/>
          <w:sz w:val="28"/>
          <w:szCs w:val="28"/>
        </w:rPr>
        <w:t xml:space="preserve"> в ходе подготовки и проведения теле радиоэфиров;</w:t>
      </w:r>
    </w:p>
    <w:p>
      <w:pPr>
        <w:pStyle w:val="a3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назначить ответственное лицо за исполнение подпункта 7.1 </w:t>
      </w:r>
      <w:r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  <w:t>(а также лицо, замещающее его на период временного отсутствия).</w:t>
      </w:r>
    </w:p>
    <w:p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Cs/>
          <w:color w:val="000000" w:themeColor="text1"/>
          <w:sz w:val="28"/>
          <w:szCs w:val="28"/>
        </w:rPr>
        <w:t>Контроль за исполнением настоящего распоряжения оставляю                                                 за собой.</w:t>
      </w:r>
    </w:p>
    <w:p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Глава Тазовского района                                                                     В.П. Паршаков </w:t>
      </w:r>
    </w:p>
    <w:sectPr>
      <w:headerReference w:type="default" r:id="rId9"/>
      <w:footerReference w:type="default" r:id="rId10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  <w:jc w:val="both"/>
      <w:rPr>
        <w:rFonts w:ascii="Times New Roman" w:hAnsi="Times New Roman" w:cs="Times New Roman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564911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72A"/>
    <w:multiLevelType w:val="hybridMultilevel"/>
    <w:tmpl w:val="CD3ACC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9BC1167"/>
    <w:multiLevelType w:val="hybridMultilevel"/>
    <w:tmpl w:val="80C8DC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5F2121"/>
    <w:multiLevelType w:val="hybridMultilevel"/>
    <w:tmpl w:val="8092E00C"/>
    <w:lvl w:ilvl="0" w:tplc="22FED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407541"/>
    <w:multiLevelType w:val="hybridMultilevel"/>
    <w:tmpl w:val="3F18F28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4D452790"/>
    <w:multiLevelType w:val="hybridMultilevel"/>
    <w:tmpl w:val="F4F63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443CE6"/>
    <w:multiLevelType w:val="multilevel"/>
    <w:tmpl w:val="A87639B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eastAsia="Times New Roman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  <w:color w:val="000000" w:themeColor="text1"/>
      </w:rPr>
    </w:lvl>
  </w:abstractNum>
  <w:abstractNum w:abstractNumId="6">
    <w:nsid w:val="5EB100B1"/>
    <w:multiLevelType w:val="hybridMultilevel"/>
    <w:tmpl w:val="A50EAC1A"/>
    <w:lvl w:ilvl="0" w:tplc="9580E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B20D9F"/>
    <w:multiLevelType w:val="multilevel"/>
    <w:tmpl w:val="1B444A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29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>
    <w:nsid w:val="6A132101"/>
    <w:multiLevelType w:val="hybridMultilevel"/>
    <w:tmpl w:val="98AC8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64E27"/>
    <w:multiLevelType w:val="singleLevel"/>
    <w:tmpl w:val="E67497EC"/>
    <w:lvl w:ilvl="0">
      <w:start w:val="1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DC27A1-DDC3-4ACD-8BB3-4CF4F8900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660" w:after="540" w:line="310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14103-C66A-42EE-BE12-8073B959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Фадеева Алена Михайловна</cp:lastModifiedBy>
  <cp:revision>83</cp:revision>
  <cp:lastPrinted>2020-03-18T04:18:00Z</cp:lastPrinted>
  <dcterms:created xsi:type="dcterms:W3CDTF">2020-02-13T06:27:00Z</dcterms:created>
  <dcterms:modified xsi:type="dcterms:W3CDTF">2020-03-18T04:18:00Z</dcterms:modified>
</cp:coreProperties>
</file>