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</w:t>
      </w:r>
    </w:p>
    <w:p>
      <w:pPr>
        <w:ind w:left="5103"/>
        <w:rPr>
          <w:rFonts w:ascii="PT Astra Serif" w:eastAsia="PMingLiU" w:hAnsi="PT Astra Serif"/>
          <w:sz w:val="28"/>
          <w:szCs w:val="28"/>
          <w:lang w:eastAsia="zh-TW"/>
        </w:rPr>
      </w:pPr>
      <w:r>
        <w:rPr>
          <w:rFonts w:ascii="PT Astra Serif" w:hAnsi="PT Astra Serif"/>
          <w:sz w:val="28"/>
          <w:szCs w:val="28"/>
        </w:rPr>
        <w:t xml:space="preserve">к </w:t>
      </w:r>
      <w:r>
        <w:rPr>
          <w:rFonts w:ascii="PT Astra Serif" w:eastAsia="PMingLiU" w:hAnsi="PT Astra Serif"/>
          <w:sz w:val="28"/>
          <w:szCs w:val="28"/>
          <w:lang w:eastAsia="zh-TW"/>
        </w:rPr>
        <w:t xml:space="preserve">Регламенту организации работы </w:t>
      </w:r>
    </w:p>
    <w:p>
      <w:pPr>
        <w:ind w:left="5103"/>
        <w:rPr>
          <w:rFonts w:ascii="PT Astra Serif" w:eastAsia="PMingLiU" w:hAnsi="PT Astra Serif"/>
          <w:sz w:val="28"/>
          <w:szCs w:val="28"/>
          <w:lang w:eastAsia="zh-TW"/>
        </w:rPr>
      </w:pPr>
      <w:r>
        <w:rPr>
          <w:rFonts w:ascii="PT Astra Serif" w:eastAsia="PMingLiU" w:hAnsi="PT Astra Serif"/>
          <w:sz w:val="28"/>
          <w:szCs w:val="28"/>
          <w:lang w:eastAsia="zh-TW"/>
        </w:rPr>
        <w:t xml:space="preserve">с сообщениями пользователей, поступающими через официальные страницы (аккаунты) в социальных сетях Губернатора Ямало-Ненецкого автономного округа, Главы Тазовского района, Администрации Тазовского района, в том числе </w:t>
      </w:r>
    </w:p>
    <w:p>
      <w:pPr>
        <w:ind w:left="5103"/>
        <w:rPr>
          <w:rFonts w:ascii="PT Astra Serif" w:eastAsia="PMingLiU" w:hAnsi="PT Astra Serif"/>
          <w:sz w:val="28"/>
          <w:szCs w:val="28"/>
          <w:lang w:eastAsia="zh-TW"/>
        </w:rPr>
      </w:pPr>
      <w:r>
        <w:rPr>
          <w:rFonts w:ascii="PT Astra Serif" w:eastAsia="PMingLiU" w:hAnsi="PT Astra Serif"/>
          <w:sz w:val="28"/>
          <w:szCs w:val="28"/>
          <w:lang w:eastAsia="zh-TW"/>
        </w:rPr>
        <w:t xml:space="preserve">в ходе подготовки и проведения </w:t>
      </w:r>
    </w:p>
    <w:p>
      <w:pPr>
        <w:ind w:left="5103"/>
        <w:rPr>
          <w:rFonts w:ascii="PT Astra Serif" w:eastAsia="PMingLiU" w:hAnsi="PT Astra Serif"/>
          <w:sz w:val="28"/>
          <w:szCs w:val="28"/>
          <w:lang w:eastAsia="zh-TW"/>
        </w:rPr>
      </w:pPr>
      <w:bookmarkStart w:id="0" w:name="_GoBack"/>
      <w:bookmarkEnd w:id="0"/>
      <w:r>
        <w:rPr>
          <w:rFonts w:ascii="PT Astra Serif" w:eastAsia="PMingLiU" w:hAnsi="PT Astra Serif"/>
          <w:sz w:val="28"/>
          <w:szCs w:val="28"/>
          <w:lang w:eastAsia="zh-TW"/>
        </w:rPr>
        <w:t>теле-радиоэфиров</w:t>
      </w:r>
    </w:p>
    <w:p>
      <w:pPr>
        <w:pStyle w:val="a4"/>
        <w:spacing w:line="360" w:lineRule="auto"/>
        <w:ind w:left="5103"/>
        <w:rPr>
          <w:rFonts w:ascii="PT Astra Serif" w:hAnsi="PT Astra Serif" w:cs="Times New Roman"/>
          <w:sz w:val="28"/>
          <w:szCs w:val="28"/>
        </w:rPr>
      </w:pPr>
    </w:p>
    <w:p>
      <w:pPr>
        <w:pStyle w:val="a4"/>
        <w:rPr>
          <w:rFonts w:ascii="PT Astra Serif" w:hAnsi="PT Astra Serif" w:cs="Times New Roman"/>
          <w:sz w:val="28"/>
          <w:szCs w:val="28"/>
        </w:rPr>
      </w:pPr>
    </w:p>
    <w:p>
      <w:pPr>
        <w:pStyle w:val="a4"/>
        <w:rPr>
          <w:rFonts w:ascii="PT Astra Serif" w:hAnsi="PT Astra Serif" w:cs="Times New Roman"/>
          <w:sz w:val="28"/>
          <w:szCs w:val="28"/>
        </w:rPr>
      </w:pPr>
    </w:p>
    <w:p>
      <w:pPr>
        <w:pStyle w:val="a4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СПИСОК</w:t>
      </w:r>
    </w:p>
    <w:p>
      <w:pPr>
        <w:pStyle w:val="a4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отраслевых (функциональных) органов Администрации Тазовского района, структурных подразделений Администрации Тазовского района, организаций, ответственных за предоставление информации</w:t>
      </w:r>
    </w:p>
    <w:p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PT Astra Serif" w:hAnsi="PT Astra Serif"/>
          <w:color w:val="000000"/>
          <w:sz w:val="28"/>
          <w:szCs w:val="28"/>
        </w:rPr>
      </w:pPr>
    </w:p>
    <w:p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PT Astra Serif" w:hAnsi="PT Astra Serif"/>
          <w:color w:val="000000"/>
          <w:sz w:val="28"/>
          <w:szCs w:val="28"/>
        </w:rPr>
      </w:pP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Департамент финансов Администрации Тазовского района;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Департамент имущественных и земельных отношений Администрации Тазовского района;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Департамент образования Администрации Тазовского района;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Департамент социального развития Администрации Тазовского района;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Управление по работе с населением межселенных территорий </w:t>
      </w:r>
      <w:r>
        <w:rPr>
          <w:rFonts w:ascii="PT Astra Serif" w:hAnsi="PT Astra Serif"/>
          <w:color w:val="000000"/>
          <w:sz w:val="28"/>
          <w:szCs w:val="28"/>
        </w:rPr>
        <w:br/>
        <w:t>и традиционными отраслями хозяйствования Администрации Тазовского района;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Управление коммуникаций, строительства и жилищной политики Администрации Тазовского района;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Управление по делам гражданской обороны, предупреждению </w:t>
      </w:r>
      <w:r>
        <w:rPr>
          <w:rFonts w:ascii="PT Astra Serif" w:hAnsi="PT Astra Serif"/>
          <w:color w:val="000000"/>
          <w:sz w:val="28"/>
          <w:szCs w:val="28"/>
        </w:rPr>
        <w:br/>
        <w:t>и ликвидации чрезвычайных ситуаций Администрации Тазовского района;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Управление культуры, физической культуры и спорта, молодежной политики и туризма Администрации Тазовского района;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управление социально-экономического развития Администрации Тазовского района;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отдел потребительского рынка и защиты прав потребителей Администрации Тазовского района;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отдел по делам архивов (муниципальный архив) Администрации Тазовского района;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муниципальное бюджетное учреждение «Средства массовой информации Тазовского района»;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Муниципальное казенное учреждение "Дирекция жилищной </w:t>
      </w:r>
      <w:r>
        <w:rPr>
          <w:rFonts w:ascii="PT Astra Serif" w:hAnsi="PT Astra Serif"/>
          <w:color w:val="000000"/>
          <w:sz w:val="28"/>
          <w:szCs w:val="28"/>
        </w:rPr>
        <w:lastRenderedPageBreak/>
        <w:t>политики Тазовского района";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муниципальное казенное учреждение «Управление капитального строительства Тазовского района»;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Муниципальное казенное учреждение «Центр по обеспечению жизнедеятельности коренных малочисленных народов Севера Тазовского района»;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муниципальное казённое учреждение «Дирекция по обслуживанию деятельности  органов местного самоуправления Тазовского района»;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Муниципальное казенное учреждение «Дирекция по финансово-экономическому сопровождению и организационно техническому обслуживанию муниципальной системы образования»;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Муниципальное казенное учреждение «</w:t>
      </w:r>
      <w:r>
        <w:rPr>
          <w:rFonts w:ascii="PT Astra Serif" w:hAnsi="PT Astra Serif"/>
          <w:sz w:val="28"/>
          <w:szCs w:val="28"/>
        </w:rPr>
        <w:t>Дирекция по финансово-экономическому сопровождению и организационно-техническому обслуживанию учреждений культуры, физической культуры и спорта, молодежной политики и туризма Администрации Тазовского района».</w:t>
      </w:r>
    </w:p>
    <w:sectPr>
      <w:headerReference w:type="default" r:id="rId7"/>
      <w:pgSz w:w="11906" w:h="16838" w:code="9"/>
      <w:pgMar w:top="1134" w:right="567" w:bottom="1134" w:left="1701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</w:rPr>
      <w:id w:val="1152484648"/>
      <w:docPartObj>
        <w:docPartGallery w:val="Page Numbers (Top of Page)"/>
        <w:docPartUnique/>
      </w:docPartObj>
    </w:sdtPr>
    <w:sdtContent>
      <w:p>
        <w:pPr>
          <w:pStyle w:val="a6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  <w:p>
        <w:pPr>
          <w:pStyle w:val="a6"/>
          <w:jc w:val="center"/>
          <w:rPr>
            <w:rFonts w:ascii="PT Astra Serif" w:hAnsi="PT Astra Serif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26004A"/>
    <w:multiLevelType w:val="hybridMultilevel"/>
    <w:tmpl w:val="040CC3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E7F5A"/>
    <w:multiLevelType w:val="hybridMultilevel"/>
    <w:tmpl w:val="040CC3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11CD88-F863-49BF-A8C3-E872AD475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</w:style>
  <w:style w:type="paragraph" w:styleId="a4">
    <w:name w:val="No Spacing"/>
    <w:link w:val="a3"/>
    <w:uiPriority w:val="1"/>
    <w:qFormat/>
    <w:pPr>
      <w:spacing w:after="0" w:line="240" w:lineRule="auto"/>
    </w:p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n.gracheva</dc:creator>
  <cp:keywords/>
  <dc:description/>
  <cp:lastModifiedBy>Фадеева Алена Михайловна</cp:lastModifiedBy>
  <cp:revision>7</cp:revision>
  <cp:lastPrinted>2020-03-13T11:33:00Z</cp:lastPrinted>
  <dcterms:created xsi:type="dcterms:W3CDTF">2020-02-19T04:34:00Z</dcterms:created>
  <dcterms:modified xsi:type="dcterms:W3CDTF">2020-03-13T11:34:00Z</dcterms:modified>
</cp:coreProperties>
</file>