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left="5103"/>
        <w:jc w:val="both"/>
        <w:rPr>
          <w:rFonts w:ascii="PT Astra Serif" w:hAnsi="PT Astra Serif"/>
          <w:sz w:val="28"/>
          <w:szCs w:val="28"/>
        </w:rPr>
      </w:pPr>
      <w:r>
        <w:rPr>
          <w:rFonts w:ascii="PT Astra Serif" w:hAnsi="PT Astra Serif"/>
          <w:sz w:val="28"/>
          <w:szCs w:val="28"/>
        </w:rPr>
        <w:t>УТВЕРЖДЕНЫ</w:t>
      </w:r>
    </w:p>
    <w:p>
      <w:pPr>
        <w:ind w:left="5103"/>
        <w:jc w:val="both"/>
        <w:rPr>
          <w:rFonts w:ascii="PT Astra Serif" w:hAnsi="PT Astra Serif"/>
          <w:sz w:val="28"/>
          <w:szCs w:val="28"/>
        </w:rPr>
      </w:pPr>
      <w:r>
        <w:rPr>
          <w:rFonts w:ascii="PT Astra Serif" w:hAnsi="PT Astra Serif"/>
          <w:sz w:val="28"/>
          <w:szCs w:val="28"/>
        </w:rPr>
        <w:t xml:space="preserve">постановлением </w:t>
      </w:r>
    </w:p>
    <w:p>
      <w:pPr>
        <w:ind w:left="5103"/>
        <w:jc w:val="both"/>
        <w:rPr>
          <w:rFonts w:ascii="PT Astra Serif" w:hAnsi="PT Astra Serif"/>
          <w:sz w:val="28"/>
          <w:szCs w:val="28"/>
        </w:rPr>
      </w:pPr>
      <w:r>
        <w:rPr>
          <w:rFonts w:ascii="PT Astra Serif" w:hAnsi="PT Astra Serif"/>
          <w:sz w:val="28"/>
          <w:szCs w:val="28"/>
        </w:rPr>
        <w:t>Администрации Тазовского района</w:t>
      </w:r>
    </w:p>
    <w:p>
      <w:pPr>
        <w:ind w:left="5103"/>
        <w:jc w:val="both"/>
        <w:rPr>
          <w:rFonts w:ascii="PT Astra Serif" w:hAnsi="PT Astra Serif"/>
          <w:sz w:val="28"/>
          <w:szCs w:val="28"/>
        </w:rPr>
      </w:pPr>
      <w:r>
        <w:rPr>
          <w:rFonts w:ascii="PT Astra Serif" w:hAnsi="PT Astra Serif"/>
          <w:sz w:val="28"/>
          <w:szCs w:val="28"/>
        </w:rPr>
        <w:t xml:space="preserve">от 20 марта 2020 года № </w:t>
      </w:r>
      <w:bookmarkStart w:id="0" w:name="_GoBack"/>
      <w:bookmarkEnd w:id="0"/>
      <w:r>
        <w:rPr>
          <w:rFonts w:ascii="PT Astra Serif" w:hAnsi="PT Astra Serif"/>
          <w:sz w:val="28"/>
          <w:szCs w:val="28"/>
        </w:rPr>
        <w:t>255</w:t>
      </w:r>
    </w:p>
    <w:p>
      <w:pPr>
        <w:jc w:val="center"/>
        <w:rPr>
          <w:rFonts w:ascii="PT Astra Serif" w:hAnsi="PT Astra Serif"/>
          <w:sz w:val="28"/>
          <w:szCs w:val="28"/>
        </w:rPr>
      </w:pPr>
    </w:p>
    <w:p>
      <w:pPr>
        <w:jc w:val="center"/>
        <w:rPr>
          <w:rFonts w:ascii="PT Astra Serif" w:hAnsi="PT Astra Serif"/>
          <w:sz w:val="28"/>
          <w:szCs w:val="28"/>
        </w:rPr>
      </w:pPr>
    </w:p>
    <w:p>
      <w:pPr>
        <w:jc w:val="center"/>
        <w:rPr>
          <w:rFonts w:ascii="PT Astra Serif" w:hAnsi="PT Astra Serif"/>
          <w:sz w:val="28"/>
          <w:szCs w:val="28"/>
        </w:rPr>
      </w:pPr>
    </w:p>
    <w:p>
      <w:pPr>
        <w:jc w:val="center"/>
        <w:rPr>
          <w:rFonts w:ascii="PT Astra Serif" w:hAnsi="PT Astra Serif"/>
          <w:b/>
          <w:sz w:val="28"/>
          <w:szCs w:val="28"/>
        </w:rPr>
      </w:pPr>
      <w:r>
        <w:rPr>
          <w:rFonts w:ascii="PT Astra Serif" w:hAnsi="PT Astra Serif"/>
          <w:b/>
          <w:sz w:val="28"/>
          <w:szCs w:val="28"/>
        </w:rPr>
        <w:t>ИЗМЕНЕНИЯ,</w:t>
      </w:r>
    </w:p>
    <w:p>
      <w:pPr>
        <w:jc w:val="center"/>
        <w:rPr>
          <w:rFonts w:ascii="PT Astra Serif" w:hAnsi="PT Astra Serif"/>
          <w:b/>
          <w:sz w:val="28"/>
          <w:szCs w:val="28"/>
        </w:rPr>
      </w:pPr>
      <w:r>
        <w:rPr>
          <w:rFonts w:ascii="PT Astra Serif" w:hAnsi="PT Astra Serif"/>
          <w:b/>
          <w:sz w:val="28"/>
          <w:szCs w:val="28"/>
        </w:rPr>
        <w:t xml:space="preserve">которые вносятся в Стандарт осуществления </w:t>
      </w:r>
    </w:p>
    <w:p>
      <w:pPr>
        <w:jc w:val="center"/>
        <w:rPr>
          <w:rFonts w:ascii="PT Astra Serif" w:hAnsi="PT Astra Serif"/>
          <w:b/>
          <w:sz w:val="28"/>
          <w:szCs w:val="28"/>
        </w:rPr>
      </w:pPr>
      <w:r>
        <w:rPr>
          <w:rFonts w:ascii="PT Astra Serif" w:hAnsi="PT Astra Serif"/>
          <w:b/>
          <w:sz w:val="28"/>
          <w:szCs w:val="28"/>
        </w:rPr>
        <w:t xml:space="preserve">внутреннего муниципального финансового контроля </w:t>
      </w:r>
    </w:p>
    <w:p>
      <w:pPr>
        <w:jc w:val="center"/>
        <w:rPr>
          <w:rFonts w:ascii="PT Astra Serif" w:hAnsi="PT Astra Serif"/>
          <w:sz w:val="28"/>
          <w:szCs w:val="28"/>
        </w:rPr>
      </w:pPr>
      <w:r>
        <w:rPr>
          <w:rFonts w:ascii="PT Astra Serif" w:hAnsi="PT Astra Serif"/>
          <w:b/>
          <w:sz w:val="28"/>
          <w:szCs w:val="28"/>
        </w:rPr>
        <w:t>«Организация контрольной деятельности»</w:t>
      </w:r>
    </w:p>
    <w:p>
      <w:pPr>
        <w:jc w:val="center"/>
        <w:rPr>
          <w:rFonts w:ascii="PT Astra Serif" w:hAnsi="PT Astra Serif"/>
          <w:sz w:val="28"/>
          <w:szCs w:val="28"/>
        </w:rPr>
      </w:pPr>
    </w:p>
    <w:p>
      <w:pPr>
        <w:tabs>
          <w:tab w:val="left" w:pos="1134"/>
        </w:tabs>
        <w:rPr>
          <w:rFonts w:ascii="PT Astra Serif" w:hAnsi="PT Astra Serif"/>
          <w:sz w:val="28"/>
          <w:szCs w:val="28"/>
        </w:rPr>
      </w:pPr>
    </w:p>
    <w:p>
      <w:pPr>
        <w:pStyle w:val="a5"/>
        <w:numPr>
          <w:ilvl w:val="0"/>
          <w:numId w:val="5"/>
        </w:numPr>
        <w:tabs>
          <w:tab w:val="left" w:pos="1134"/>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В пункте 1 слова «в сфере бюджетных правоотношений» исключить.</w:t>
      </w:r>
    </w:p>
    <w:p>
      <w:pPr>
        <w:pStyle w:val="a5"/>
        <w:numPr>
          <w:ilvl w:val="0"/>
          <w:numId w:val="5"/>
        </w:numPr>
        <w:tabs>
          <w:tab w:val="left" w:pos="1134"/>
          <w:tab w:val="left" w:pos="1276"/>
        </w:tabs>
        <w:spacing w:line="240" w:lineRule="auto"/>
        <w:ind w:left="0" w:firstLine="709"/>
        <w:rPr>
          <w:rFonts w:ascii="PT Astra Serif" w:hAnsi="PT Astra Serif"/>
          <w:sz w:val="28"/>
          <w:szCs w:val="28"/>
        </w:rPr>
      </w:pPr>
      <w:r>
        <w:rPr>
          <w:rFonts w:ascii="PT Astra Serif" w:hAnsi="PT Astra Serif"/>
          <w:sz w:val="28"/>
          <w:szCs w:val="28"/>
          <w:lang w:val="ru-RU"/>
        </w:rPr>
        <w:t>Пункт 9 изложить в следующей редакции:</w:t>
      </w:r>
    </w:p>
    <w:p>
      <w:pPr>
        <w:pStyle w:val="a5"/>
        <w:tabs>
          <w:tab w:val="left" w:pos="1134"/>
          <w:tab w:val="left" w:pos="1276"/>
        </w:tabs>
        <w:spacing w:line="240" w:lineRule="auto"/>
        <w:ind w:left="0" w:firstLine="709"/>
        <w:jc w:val="both"/>
        <w:rPr>
          <w:rFonts w:ascii="PT Astra Serif" w:hAnsi="PT Astra Serif"/>
          <w:sz w:val="28"/>
          <w:szCs w:val="28"/>
          <w:lang w:val="ru-RU"/>
        </w:rPr>
      </w:pPr>
      <w:r>
        <w:rPr>
          <w:rFonts w:ascii="PT Astra Serif" w:hAnsi="PT Astra Serif"/>
          <w:sz w:val="28"/>
          <w:szCs w:val="28"/>
          <w:lang w:val="ru-RU"/>
        </w:rPr>
        <w:t>«9. План контрольной деятельности формируется в табличной форме                     с периодичностью 6 месяцев (полгода). Содержание плана контрольной деятельности отражается в соответствии с Порядком осуществления органом муниципального финансового контроля полномочий по внутреннему муниципальному финансовому контролю, утвержденным постановлением Администрации Тазовского района от 30 декабря 2019 года № 1335                           (далее – Порядок по осуществлению контроля).».</w:t>
      </w:r>
    </w:p>
    <w:p>
      <w:pPr>
        <w:pStyle w:val="a5"/>
        <w:numPr>
          <w:ilvl w:val="0"/>
          <w:numId w:val="5"/>
        </w:numPr>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lang w:val="ru-RU"/>
        </w:rPr>
        <w:t>Пункт 18 изложить в следующей редакции:</w:t>
      </w:r>
    </w:p>
    <w:p>
      <w:pPr>
        <w:tabs>
          <w:tab w:val="left" w:pos="1134"/>
          <w:tab w:val="left" w:pos="1276"/>
        </w:tabs>
        <w:ind w:firstLine="709"/>
        <w:jc w:val="both"/>
        <w:rPr>
          <w:rFonts w:ascii="PT Astra Serif" w:hAnsi="PT Astra Serif"/>
          <w:sz w:val="28"/>
          <w:szCs w:val="28"/>
        </w:rPr>
      </w:pPr>
      <w:r>
        <w:rPr>
          <w:rFonts w:ascii="PT Astra Serif" w:hAnsi="PT Astra Serif"/>
          <w:sz w:val="28"/>
          <w:szCs w:val="28"/>
        </w:rPr>
        <w:t>«18. Для осуществления контрольного мероприятия может быть сформирована контрольная (рабочая) группа. Формирование участников контрольного мероприятия должно осуществляться с учетом недопустимости ситуаций возникновения конфликта интересов.».</w:t>
      </w:r>
    </w:p>
    <w:p>
      <w:pPr>
        <w:pStyle w:val="a5"/>
        <w:numPr>
          <w:ilvl w:val="0"/>
          <w:numId w:val="5"/>
        </w:numPr>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lang w:val="ru-RU"/>
        </w:rPr>
        <w:t>Пункт 38 изложить в следующей редакции:</w:t>
      </w:r>
    </w:p>
    <w:p>
      <w:pPr>
        <w:tabs>
          <w:tab w:val="left" w:pos="1134"/>
          <w:tab w:val="left" w:pos="1276"/>
        </w:tabs>
        <w:ind w:firstLine="709"/>
        <w:jc w:val="both"/>
        <w:rPr>
          <w:rFonts w:ascii="PT Astra Serif" w:hAnsi="PT Astra Serif"/>
          <w:sz w:val="28"/>
          <w:szCs w:val="28"/>
        </w:rPr>
      </w:pPr>
      <w:r>
        <w:rPr>
          <w:rFonts w:ascii="PT Astra Serif" w:hAnsi="PT Astra Serif"/>
          <w:sz w:val="28"/>
          <w:szCs w:val="28"/>
        </w:rPr>
        <w:t>«38. Проведение контрольного мероприятия может быть приостановлено в случаях, предусмотренных Порядком по осуществлению контроля. Проект приказа о приостановлении контрольного мероприятия, проект уведомления объекту контроля о принятом решении подготавливается ответственным участником и направляется начальнику Департамента на рассмотрение                              и подписание. Решение о приостановлении контрольного мероприятия должно быть принято и направлено до адресата в течение времени, установленного Порядком по осуществлению контроля.».</w:t>
      </w:r>
    </w:p>
    <w:p>
      <w:pPr>
        <w:pStyle w:val="a5"/>
        <w:numPr>
          <w:ilvl w:val="0"/>
          <w:numId w:val="5"/>
        </w:numPr>
        <w:tabs>
          <w:tab w:val="left" w:pos="1134"/>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Пункт 39 признать утратившим силу.</w:t>
      </w:r>
    </w:p>
    <w:p>
      <w:pPr>
        <w:pStyle w:val="a5"/>
        <w:numPr>
          <w:ilvl w:val="0"/>
          <w:numId w:val="5"/>
        </w:numPr>
        <w:tabs>
          <w:tab w:val="left" w:pos="1134"/>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Пункт 41 признать утратившим силу.</w:t>
      </w:r>
    </w:p>
    <w:p>
      <w:pPr>
        <w:pStyle w:val="a5"/>
        <w:numPr>
          <w:ilvl w:val="0"/>
          <w:numId w:val="5"/>
        </w:numPr>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lang w:val="ru-RU"/>
        </w:rPr>
        <w:t>Пункт 46 изложить в следующей редакции:</w:t>
      </w:r>
    </w:p>
    <w:p>
      <w:pPr>
        <w:tabs>
          <w:tab w:val="left" w:pos="1134"/>
          <w:tab w:val="left" w:pos="1276"/>
        </w:tabs>
        <w:ind w:firstLine="709"/>
        <w:jc w:val="both"/>
        <w:rPr>
          <w:rFonts w:ascii="PT Astra Serif" w:hAnsi="PT Astra Serif"/>
          <w:sz w:val="28"/>
          <w:szCs w:val="28"/>
        </w:rPr>
      </w:pPr>
      <w:r>
        <w:rPr>
          <w:rFonts w:ascii="PT Astra Serif" w:hAnsi="PT Astra Serif"/>
          <w:sz w:val="28"/>
          <w:szCs w:val="28"/>
        </w:rPr>
        <w:t>«46. Описательная часть акта, заключения должна содержать описание проведенной работы и выявленных нарушений, недостатков, которые должны быть подтверждены доказательствами.».</w:t>
      </w:r>
    </w:p>
    <w:p>
      <w:pPr>
        <w:pStyle w:val="a5"/>
        <w:numPr>
          <w:ilvl w:val="0"/>
          <w:numId w:val="5"/>
        </w:numPr>
        <w:tabs>
          <w:tab w:val="left" w:pos="1134"/>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Пункт 48 признать утратившим силу.</w:t>
      </w:r>
    </w:p>
    <w:p>
      <w:pPr>
        <w:pStyle w:val="a5"/>
        <w:numPr>
          <w:ilvl w:val="0"/>
          <w:numId w:val="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lang w:val="ru-RU"/>
        </w:rPr>
        <w:t>Пункт 51 изложить в следующей редакции:</w:t>
      </w:r>
    </w:p>
    <w:p>
      <w:pPr>
        <w:tabs>
          <w:tab w:val="left" w:pos="1276"/>
        </w:tabs>
        <w:ind w:firstLine="709"/>
        <w:jc w:val="both"/>
        <w:rPr>
          <w:rFonts w:ascii="PT Astra Serif" w:hAnsi="PT Astra Serif"/>
          <w:sz w:val="28"/>
          <w:szCs w:val="28"/>
        </w:rPr>
      </w:pPr>
      <w:r>
        <w:rPr>
          <w:rFonts w:ascii="PT Astra Serif" w:hAnsi="PT Astra Serif"/>
          <w:sz w:val="28"/>
          <w:szCs w:val="28"/>
        </w:rPr>
        <w:lastRenderedPageBreak/>
        <w:t>«51. В случае не устранения бюджетного нарушения, предусмотренного бюджетным законодательством и указанного в представлении, ответственный участник контрольного мероприятия в соответствии с пунктом 5 статьи 306.2 Бюджетного кодекса Российской Федерации направляет начальнику Департамента уведомление о применении бюджетных мер принуждения                           в виде служебной записки, а копию такого уведомления - участнику бюджетного процесса, в отношении которого проводилось контрольное мероприятие.».</w:t>
      </w:r>
    </w:p>
    <w:p>
      <w:pPr>
        <w:pStyle w:val="a5"/>
        <w:numPr>
          <w:ilvl w:val="0"/>
          <w:numId w:val="5"/>
        </w:numPr>
        <w:tabs>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Пункт 55 признать утратившим силу.</w:t>
      </w:r>
    </w:p>
    <w:p>
      <w:pPr>
        <w:pStyle w:val="a5"/>
        <w:numPr>
          <w:ilvl w:val="0"/>
          <w:numId w:val="5"/>
        </w:numPr>
        <w:tabs>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lang w:val="ru-RU"/>
        </w:rPr>
        <w:t>Пункт 56 изложить в следующей редакции:</w:t>
      </w:r>
    </w:p>
    <w:p>
      <w:pPr>
        <w:tabs>
          <w:tab w:val="left" w:pos="1276"/>
        </w:tabs>
        <w:ind w:firstLine="709"/>
        <w:jc w:val="both"/>
        <w:rPr>
          <w:rFonts w:ascii="PT Astra Serif" w:hAnsi="PT Astra Serif"/>
          <w:sz w:val="28"/>
          <w:szCs w:val="28"/>
        </w:rPr>
      </w:pPr>
      <w:r>
        <w:rPr>
          <w:rFonts w:ascii="PT Astra Serif" w:hAnsi="PT Astra Serif"/>
          <w:sz w:val="28"/>
          <w:szCs w:val="28"/>
        </w:rPr>
        <w:t xml:space="preserve">«56. Результаты контрольного мероприятия в виде отчета направляются заместителю главы </w:t>
      </w:r>
      <w:r>
        <w:rPr>
          <w:rFonts w:ascii="PT Astra Serif" w:hAnsi="PT Astra Serif"/>
          <w:spacing w:val="-20"/>
          <w:sz w:val="28"/>
          <w:szCs w:val="28"/>
        </w:rPr>
        <w:t>Администрации Тазовского</w:t>
      </w:r>
      <w:r>
        <w:rPr>
          <w:rFonts w:ascii="PT Astra Serif" w:hAnsi="PT Astra Serif"/>
          <w:sz w:val="28"/>
          <w:szCs w:val="28"/>
        </w:rPr>
        <w:t xml:space="preserve"> района по экономике и финансам.».</w:t>
      </w:r>
    </w:p>
    <w:p>
      <w:pPr>
        <w:pStyle w:val="a5"/>
        <w:numPr>
          <w:ilvl w:val="0"/>
          <w:numId w:val="5"/>
        </w:numPr>
        <w:tabs>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Пункты 61, 62 признать утратившими силу.</w:t>
      </w:r>
    </w:p>
    <w:p>
      <w:pPr>
        <w:pStyle w:val="a5"/>
        <w:numPr>
          <w:ilvl w:val="0"/>
          <w:numId w:val="5"/>
        </w:numPr>
        <w:tabs>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В приложениях № 3, 4 к Стандарту осуществления внутреннего муниципального финансового контроля «Организация контрольной деятельности» слова «На основании Порядка осуществления полномочий органом муниципального финансового контроля по внутреннему муниципальному финансовому контролю, утвержденного постановлением Администрации Тазовского района от 21 апреля 2014 года № 226» заменить словами «На основании Порядка осуществления органом муниципального финансового контроля полномочий по внутреннему муниципальному финансовому контролю, утвержденного постановлением Администрации Тазовского района от 30 декабря 2019 года № 1335».</w:t>
      </w:r>
    </w:p>
    <w:p>
      <w:pPr>
        <w:pStyle w:val="a5"/>
        <w:numPr>
          <w:ilvl w:val="0"/>
          <w:numId w:val="5"/>
        </w:numPr>
        <w:tabs>
          <w:tab w:val="left" w:pos="1276"/>
        </w:tabs>
        <w:spacing w:line="240" w:lineRule="auto"/>
        <w:ind w:left="0" w:firstLine="709"/>
        <w:jc w:val="both"/>
        <w:rPr>
          <w:rFonts w:ascii="PT Astra Serif" w:hAnsi="PT Astra Serif"/>
          <w:sz w:val="28"/>
          <w:szCs w:val="28"/>
        </w:rPr>
      </w:pPr>
      <w:r>
        <w:rPr>
          <w:rFonts w:ascii="PT Astra Serif" w:hAnsi="PT Astra Serif"/>
          <w:sz w:val="28"/>
          <w:szCs w:val="28"/>
          <w:lang w:val="ru-RU"/>
        </w:rPr>
        <w:t>Приложение № 5 к Стандарту осуществления внутреннего муниципального финансового контроля «Организация контрольной деятельности» признать утратившим силу.</w:t>
      </w:r>
    </w:p>
    <w:sectPr>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65215"/>
      <w:docPartObj>
        <w:docPartGallery w:val="Page Numbers (Top of Page)"/>
        <w:docPartUnique/>
      </w:docPartObj>
    </w:sdtPr>
    <w:sdtEndPr>
      <w:rPr>
        <w:rFonts w:ascii="PT Astra Serif" w:hAnsi="PT Astra Serif"/>
      </w:rPr>
    </w:sdtEndPr>
    <w:sdtContent>
      <w:p>
        <w:pPr>
          <w:pStyle w:val="a9"/>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Pr>
            <w:rFonts w:ascii="PT Astra Serif" w:hAnsi="PT Astra Serif"/>
            <w:noProof/>
          </w:rPr>
          <w:t>2</w:t>
        </w:r>
        <w:r>
          <w:rPr>
            <w:rFonts w:ascii="PT Astra Serif" w:hAnsi="PT Astra Serif"/>
          </w:rPr>
          <w:fldChar w:fldCharType="end"/>
        </w:r>
      </w:p>
    </w:sdtContent>
  </w:sdt>
  <w:p>
    <w:pPr>
      <w:pStyle w:val="a9"/>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25AB"/>
    <w:multiLevelType w:val="hybridMultilevel"/>
    <w:tmpl w:val="B4769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1176B"/>
    <w:multiLevelType w:val="hybridMultilevel"/>
    <w:tmpl w:val="428679CC"/>
    <w:lvl w:ilvl="0" w:tplc="47C6FF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455DD9"/>
    <w:multiLevelType w:val="hybridMultilevel"/>
    <w:tmpl w:val="3D1235D6"/>
    <w:lvl w:ilvl="0" w:tplc="5E4E2BD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4852FB"/>
    <w:multiLevelType w:val="hybridMultilevel"/>
    <w:tmpl w:val="C5D86ED4"/>
    <w:lvl w:ilvl="0" w:tplc="5E4E2BD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A3A0B"/>
    <w:multiLevelType w:val="hybridMultilevel"/>
    <w:tmpl w:val="151417C2"/>
    <w:lvl w:ilvl="0" w:tplc="3BE8B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56C3-508C-4C3B-A943-D3604F0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6"/>
      <w:szCs w:val="20"/>
    </w:rPr>
  </w:style>
  <w:style w:type="character" w:customStyle="1" w:styleId="a4">
    <w:name w:val="Название Знак"/>
    <w:basedOn w:val="a0"/>
    <w:link w:val="a3"/>
    <w:rPr>
      <w:sz w:val="26"/>
      <w:lang w:eastAsia="ru-RU"/>
    </w:rPr>
  </w:style>
  <w:style w:type="paragraph" w:styleId="a5">
    <w:name w:val="List Paragraph"/>
    <w:basedOn w:val="a"/>
    <w:link w:val="a6"/>
    <w:qFormat/>
    <w:pPr>
      <w:spacing w:after="200" w:line="276" w:lineRule="auto"/>
      <w:ind w:left="720"/>
      <w:contextualSpacing/>
    </w:pPr>
    <w:rPr>
      <w:rFonts w:ascii="Calibri" w:eastAsia="Calibri" w:hAnsi="Calibri"/>
      <w:sz w:val="22"/>
      <w:szCs w:val="22"/>
      <w:lang w:val="x-none" w:eastAsia="en-US"/>
    </w:rPr>
  </w:style>
  <w:style w:type="character" w:customStyle="1" w:styleId="a6">
    <w:name w:val="Абзац списка Знак"/>
    <w:link w:val="a5"/>
    <w:locked/>
    <w:rPr>
      <w:rFonts w:ascii="Calibri" w:eastAsia="Calibri" w:hAnsi="Calibri"/>
      <w:sz w:val="22"/>
      <w:szCs w:val="22"/>
      <w:lang w:val="x-none"/>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sz w:val="24"/>
      <w:szCs w:val="24"/>
      <w:lang w:eastAsia="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E660-BB98-4C18-852F-5012D5A3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9009</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Сидоркина</dc:creator>
  <cp:keywords/>
  <dc:description/>
  <cp:lastModifiedBy>Фадеева Алена Михайловна</cp:lastModifiedBy>
  <cp:revision>69</cp:revision>
  <cp:lastPrinted>2020-03-20T07:15:00Z</cp:lastPrinted>
  <dcterms:created xsi:type="dcterms:W3CDTF">2017-12-05T05:16:00Z</dcterms:created>
  <dcterms:modified xsi:type="dcterms:W3CDTF">2020-03-20T07:16:00Z</dcterms:modified>
</cp:coreProperties>
</file>