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VVF1"/>
        <w:tabs>
          <w:tab w:val="left" w:pos="540"/>
          <w:tab w:val="left" w:pos="900"/>
        </w:tabs>
        <w:spacing w:before="0" w:line="360" w:lineRule="auto"/>
        <w:ind w:left="4820" w:firstLine="0"/>
        <w:jc w:val="left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УТВЕРЖДЕН</w:t>
      </w:r>
    </w:p>
    <w:p>
      <w:pPr>
        <w:pStyle w:val="VVF1"/>
        <w:tabs>
          <w:tab w:val="left" w:pos="540"/>
          <w:tab w:val="left" w:pos="900"/>
        </w:tabs>
        <w:spacing w:before="0"/>
        <w:ind w:left="4820" w:firstLine="0"/>
        <w:jc w:val="left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 xml:space="preserve">постановлением </w:t>
      </w:r>
    </w:p>
    <w:p>
      <w:pPr>
        <w:pStyle w:val="VVF1"/>
        <w:tabs>
          <w:tab w:val="left" w:pos="540"/>
          <w:tab w:val="left" w:pos="900"/>
        </w:tabs>
        <w:spacing w:before="0"/>
        <w:ind w:left="4820" w:firstLine="0"/>
        <w:jc w:val="left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Администрации Тазовского района</w:t>
      </w:r>
    </w:p>
    <w:p>
      <w:pPr>
        <w:pStyle w:val="VVF1"/>
        <w:tabs>
          <w:tab w:val="left" w:pos="540"/>
          <w:tab w:val="left" w:pos="900"/>
        </w:tabs>
        <w:spacing w:before="0"/>
        <w:ind w:left="4820" w:firstLine="0"/>
        <w:jc w:val="left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от 05 марта 2020 года № 198</w:t>
      </w:r>
      <w:bookmarkStart w:id="0" w:name="_GoBack"/>
      <w:bookmarkEnd w:id="0"/>
    </w:p>
    <w:p>
      <w:pPr>
        <w:widowControl/>
        <w:autoSpaceDE/>
        <w:autoSpaceDN/>
        <w:adjustRightInd/>
        <w:ind w:firstLine="0"/>
        <w:contextualSpacing/>
        <w:jc w:val="center"/>
        <w:rPr>
          <w:rFonts w:ascii="PT Astra Serif" w:hAnsi="PT Astra Serif" w:cs="Times New Roman"/>
          <w:b/>
          <w:sz w:val="28"/>
          <w:szCs w:val="28"/>
        </w:rPr>
      </w:pPr>
    </w:p>
    <w:p>
      <w:pPr>
        <w:widowControl/>
        <w:autoSpaceDE/>
        <w:autoSpaceDN/>
        <w:adjustRightInd/>
        <w:ind w:firstLine="0"/>
        <w:contextualSpacing/>
        <w:jc w:val="center"/>
        <w:rPr>
          <w:rFonts w:ascii="PT Astra Serif" w:hAnsi="PT Astra Serif" w:cs="Times New Roman"/>
          <w:b/>
          <w:sz w:val="28"/>
          <w:szCs w:val="28"/>
        </w:rPr>
      </w:pPr>
    </w:p>
    <w:p>
      <w:pPr>
        <w:widowControl/>
        <w:autoSpaceDE/>
        <w:autoSpaceDN/>
        <w:adjustRightInd/>
        <w:ind w:firstLine="0"/>
        <w:contextualSpacing/>
        <w:jc w:val="center"/>
        <w:rPr>
          <w:rFonts w:ascii="PT Astra Serif" w:hAnsi="PT Astra Serif" w:cs="Times New Roman"/>
          <w:b/>
          <w:sz w:val="28"/>
          <w:szCs w:val="28"/>
        </w:rPr>
      </w:pPr>
    </w:p>
    <w:p>
      <w:pPr>
        <w:widowControl/>
        <w:autoSpaceDE/>
        <w:autoSpaceDN/>
        <w:adjustRightInd/>
        <w:ind w:firstLine="0"/>
        <w:contextualSpacing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ПОРЯДОК</w:t>
      </w:r>
    </w:p>
    <w:p>
      <w:pPr>
        <w:widowControl/>
        <w:autoSpaceDE/>
        <w:autoSpaceDN/>
        <w:adjustRightInd/>
        <w:ind w:firstLine="0"/>
        <w:contextualSpacing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предоставления решения о согласовании </w:t>
      </w:r>
    </w:p>
    <w:p>
      <w:pPr>
        <w:widowControl/>
        <w:autoSpaceDE/>
        <w:autoSpaceDN/>
        <w:adjustRightInd/>
        <w:ind w:firstLine="0"/>
        <w:contextualSpacing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архитектурно-градостроительного облика объекта на территории муниципального образования Тазовский район</w:t>
      </w:r>
    </w:p>
    <w:p>
      <w:pPr>
        <w:widowControl/>
        <w:autoSpaceDE/>
        <w:autoSpaceDN/>
        <w:adjustRightInd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</w:p>
    <w:p>
      <w:pPr>
        <w:widowControl/>
        <w:autoSpaceDE/>
        <w:autoSpaceDN/>
        <w:adjustRightInd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</w:p>
    <w:p>
      <w:pPr>
        <w:pStyle w:val="a5"/>
        <w:widowControl/>
        <w:numPr>
          <w:ilvl w:val="0"/>
          <w:numId w:val="4"/>
        </w:numPr>
        <w:autoSpaceDE/>
        <w:autoSpaceDN/>
        <w:adjustRightInd/>
        <w:ind w:lef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Общие положения</w:t>
      </w:r>
    </w:p>
    <w:p>
      <w:pPr>
        <w:widowControl/>
        <w:autoSpaceDE/>
        <w:autoSpaceDN/>
        <w:adjustRightInd/>
        <w:ind w:firstLine="0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Порядок предоставления решения о согласовании архитектурно-градостроительного облика объекта на территории муниципального образования Тазовский район (далее – Порядок) разработан в соответствии                     с Градостроительным кодексом Российской Федерации, постановлениями Правительства Российской Федерации от 30 апреля 2014 года № 403                         «Об исчерпывающем перечне процедур в сфере жилищного строительства»,                     от 28 марта 2017 года № 346 «Об исчерпывающем перечне процедур                                 в сфере строительства объектов капитального строительства нежилого назначения и о Правилах ведения реестра описаний процедур, указанных                         в исчерпывающем перечне процедур в сфере строительства объектов капитального строительства нежилого назначения».</w:t>
      </w:r>
      <w:r>
        <w:rPr>
          <w:rFonts w:ascii="PT Astra Serif" w:hAnsi="PT Astra Serif"/>
          <w:sz w:val="28"/>
          <w:szCs w:val="28"/>
        </w:rPr>
        <w:t xml:space="preserve"> </w:t>
      </w:r>
    </w:p>
    <w:p>
      <w:pPr>
        <w:pStyle w:val="Default"/>
        <w:numPr>
          <w:ilvl w:val="1"/>
          <w:numId w:val="4"/>
        </w:numPr>
        <w:tabs>
          <w:tab w:val="left" w:pos="1276"/>
        </w:tabs>
        <w:spacing w:after="27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Настоящий Порядок обязателен для исполнения всеми юридическими лицами, учреждениями, организациями, частными предпринимателями и общественными объединениями (далее - организация), независимо от их организационно-правовой формы, ведомственной принадлежности и форм собственности, должностными и физическими лицами.</w:t>
      </w:r>
    </w:p>
    <w:p>
      <w:pPr>
        <w:pStyle w:val="Default"/>
        <w:tabs>
          <w:tab w:val="left" w:pos="0"/>
        </w:tabs>
        <w:spacing w:after="27"/>
        <w:jc w:val="center"/>
        <w:rPr>
          <w:rFonts w:ascii="PT Astra Serif" w:hAnsi="PT Astra Serif"/>
          <w:sz w:val="28"/>
          <w:szCs w:val="28"/>
        </w:rPr>
      </w:pPr>
    </w:p>
    <w:p>
      <w:pPr>
        <w:pStyle w:val="Default"/>
        <w:numPr>
          <w:ilvl w:val="0"/>
          <w:numId w:val="4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Основные термины и определения</w:t>
      </w:r>
    </w:p>
    <w:p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/>
        <w:tabs>
          <w:tab w:val="left" w:pos="1276"/>
        </w:tabs>
        <w:autoSpaceDE/>
        <w:autoSpaceDN/>
        <w:adjustRightInd/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 w:cs="Times New Roman"/>
          <w:sz w:val="28"/>
          <w:szCs w:val="28"/>
        </w:rPr>
        <w:t>.1.</w:t>
      </w:r>
      <w:r>
        <w:rPr>
          <w:rFonts w:ascii="PT Astra Serif" w:hAnsi="PT Astra Serif" w:cs="Times New Roman"/>
          <w:sz w:val="28"/>
          <w:szCs w:val="28"/>
        </w:rPr>
        <w:tab/>
        <w:t>В целях настоящего Порядка используются следующие основные понятия:</w:t>
      </w:r>
    </w:p>
    <w:p>
      <w:pPr>
        <w:widowControl/>
        <w:tabs>
          <w:tab w:val="left" w:pos="1134"/>
          <w:tab w:val="left" w:pos="1276"/>
        </w:tabs>
        <w:autoSpaceDE/>
        <w:autoSpaceDN/>
        <w:adjustRightInd/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1)</w:t>
      </w:r>
      <w:r>
        <w:rPr>
          <w:rFonts w:ascii="PT Astra Serif" w:hAnsi="PT Astra Serif" w:cs="Times New Roman"/>
          <w:sz w:val="28"/>
          <w:szCs w:val="28"/>
        </w:rPr>
        <w:tab/>
        <w:t>архитектурный облик поселений Тазовского района – визуально воспринимаемая и последовательно формируемая совокупность архитектурных объектов;</w:t>
      </w:r>
    </w:p>
    <w:p>
      <w:pPr>
        <w:widowControl/>
        <w:tabs>
          <w:tab w:val="left" w:pos="1134"/>
          <w:tab w:val="left" w:pos="1276"/>
        </w:tabs>
        <w:autoSpaceDE/>
        <w:autoSpaceDN/>
        <w:adjustRightInd/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2)</w:t>
      </w:r>
      <w:r>
        <w:rPr>
          <w:rFonts w:ascii="PT Astra Serif" w:hAnsi="PT Astra Serif" w:cs="Times New Roman"/>
          <w:sz w:val="28"/>
          <w:szCs w:val="28"/>
        </w:rPr>
        <w:tab/>
        <w:t>архитектурно-градостроительный облик объекта – совокупность композиционных приемов и фасадных решений объекта;</w:t>
      </w:r>
    </w:p>
    <w:p>
      <w:pPr>
        <w:widowControl/>
        <w:tabs>
          <w:tab w:val="left" w:pos="1134"/>
          <w:tab w:val="left" w:pos="1276"/>
        </w:tabs>
        <w:autoSpaceDE/>
        <w:autoSpaceDN/>
        <w:adjustRightInd/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3)</w:t>
      </w:r>
      <w:r>
        <w:rPr>
          <w:rFonts w:ascii="PT Astra Serif" w:hAnsi="PT Astra Serif" w:cs="Times New Roman"/>
          <w:sz w:val="28"/>
          <w:szCs w:val="28"/>
        </w:rPr>
        <w:tab/>
        <w:t>композиционный прием - взаимосвязанное и последовательное расположение частей и элементов архитектурного объекта;</w:t>
      </w:r>
    </w:p>
    <w:p>
      <w:pPr>
        <w:widowControl/>
        <w:tabs>
          <w:tab w:val="left" w:pos="0"/>
          <w:tab w:val="left" w:pos="1276"/>
        </w:tabs>
        <w:autoSpaceDE/>
        <w:autoSpaceDN/>
        <w:adjustRightInd/>
        <w:ind w:firstLine="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4)</w:t>
      </w:r>
      <w:r>
        <w:rPr>
          <w:rFonts w:ascii="PT Astra Serif" w:hAnsi="PT Astra Serif" w:cs="Times New Roman"/>
          <w:sz w:val="28"/>
          <w:szCs w:val="28"/>
        </w:rPr>
        <w:tab/>
        <w:t>фасадные решения объекта - решения объекта, определяющие высотные характеристики, материалы фасада, его членение и стилевые характеристики;</w:t>
      </w:r>
    </w:p>
    <w:p>
      <w:pPr>
        <w:widowControl/>
        <w:tabs>
          <w:tab w:val="left" w:pos="1134"/>
          <w:tab w:val="left" w:pos="1276"/>
        </w:tabs>
        <w:autoSpaceDE/>
        <w:autoSpaceDN/>
        <w:adjustRightInd/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5)</w:t>
      </w:r>
      <w:r>
        <w:rPr>
          <w:rFonts w:ascii="PT Astra Serif" w:hAnsi="PT Astra Serif" w:cs="Times New Roman"/>
          <w:sz w:val="28"/>
          <w:szCs w:val="28"/>
        </w:rPr>
        <w:tab/>
        <w:t>высотные характеристики объекта - высота объекта, его                          частей, включая нефункциональные элементы и тип кровли (решение                                 по ее устройству);</w:t>
      </w:r>
    </w:p>
    <w:p>
      <w:pPr>
        <w:widowControl/>
        <w:tabs>
          <w:tab w:val="left" w:pos="1134"/>
          <w:tab w:val="left" w:pos="1276"/>
        </w:tabs>
        <w:autoSpaceDE/>
        <w:autoSpaceDN/>
        <w:adjustRightInd/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6)</w:t>
      </w:r>
      <w:r>
        <w:rPr>
          <w:rFonts w:ascii="PT Astra Serif" w:hAnsi="PT Astra Serif" w:cs="Times New Roman"/>
          <w:sz w:val="28"/>
          <w:szCs w:val="28"/>
        </w:rPr>
        <w:tab/>
        <w:t xml:space="preserve">материалы фасада объекта - материалы, применяемые для </w:t>
      </w:r>
      <w:r>
        <w:rPr>
          <w:rFonts w:ascii="PT Astra Serif" w:hAnsi="PT Astra Serif" w:cs="Times New Roman"/>
          <w:spacing w:val="-20"/>
          <w:sz w:val="28"/>
          <w:szCs w:val="28"/>
        </w:rPr>
        <w:t>о</w:t>
      </w:r>
      <w:r>
        <w:rPr>
          <w:rFonts w:ascii="PT Astra Serif" w:hAnsi="PT Astra Serif" w:cs="Times New Roman"/>
          <w:sz w:val="28"/>
          <w:szCs w:val="28"/>
        </w:rPr>
        <w:t>фор</w:t>
      </w:r>
      <w:r>
        <w:rPr>
          <w:rFonts w:ascii="PT Astra Serif" w:hAnsi="PT Astra Serif" w:cs="Times New Roman"/>
          <w:spacing w:val="-20"/>
          <w:sz w:val="28"/>
          <w:szCs w:val="28"/>
        </w:rPr>
        <w:t>мления и</w:t>
      </w:r>
      <w:r>
        <w:rPr>
          <w:rFonts w:ascii="PT Astra Serif" w:hAnsi="PT Astra Serif" w:cs="Times New Roman"/>
          <w:sz w:val="28"/>
          <w:szCs w:val="28"/>
        </w:rPr>
        <w:t xml:space="preserve"> отделки фасадов;</w:t>
      </w:r>
    </w:p>
    <w:p>
      <w:pPr>
        <w:widowControl/>
        <w:tabs>
          <w:tab w:val="left" w:pos="1134"/>
          <w:tab w:val="left" w:pos="1276"/>
        </w:tabs>
        <w:autoSpaceDE/>
        <w:autoSpaceDN/>
        <w:adjustRightInd/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7)</w:t>
      </w:r>
      <w:r>
        <w:rPr>
          <w:rFonts w:ascii="PT Astra Serif" w:hAnsi="PT Astra Serif" w:cs="Times New Roman"/>
          <w:sz w:val="28"/>
          <w:szCs w:val="28"/>
        </w:rPr>
        <w:tab/>
        <w:t>стилевые характеристики - принадлежность объекта к архитектурному стилю.</w:t>
      </w:r>
    </w:p>
    <w:p>
      <w:pPr>
        <w:widowControl/>
        <w:tabs>
          <w:tab w:val="left" w:pos="1276"/>
        </w:tabs>
        <w:autoSpaceDE/>
        <w:autoSpaceDN/>
        <w:adjustRightInd/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2.2.</w:t>
      </w:r>
      <w:r>
        <w:rPr>
          <w:rFonts w:ascii="PT Astra Serif" w:hAnsi="PT Astra Serif" w:cs="Times New Roman"/>
          <w:sz w:val="28"/>
          <w:szCs w:val="28"/>
        </w:rPr>
        <w:tab/>
        <w:t>Понятия, не указанные в настоящем разделе, употребляются                             в значениях, определенных действующим федеральным законодательством.</w:t>
      </w:r>
    </w:p>
    <w:p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</w:p>
    <w:p>
      <w:pPr>
        <w:pStyle w:val="a5"/>
        <w:widowControl/>
        <w:numPr>
          <w:ilvl w:val="0"/>
          <w:numId w:val="4"/>
        </w:numPr>
        <w:tabs>
          <w:tab w:val="left" w:pos="0"/>
        </w:tabs>
        <w:autoSpaceDE/>
        <w:autoSpaceDN/>
        <w:adjustRightInd/>
        <w:ind w:lef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Основные цели согласования                                                                 архитектурно-градостроительного облика объекта</w:t>
      </w:r>
    </w:p>
    <w:p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Основными целями согласования архитектурно-градостроительного облика объекта являются:</w:t>
      </w:r>
    </w:p>
    <w:p>
      <w:pPr>
        <w:pStyle w:val="a5"/>
        <w:widowControl/>
        <w:numPr>
          <w:ilvl w:val="0"/>
          <w:numId w:val="7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обеспечение композиционной гармонизации, структурной о</w:t>
      </w:r>
      <w:r>
        <w:rPr>
          <w:rFonts w:ascii="PT Astra Serif" w:hAnsi="PT Astra Serif" w:cs="Times New Roman"/>
          <w:spacing w:val="-20"/>
          <w:sz w:val="28"/>
          <w:szCs w:val="28"/>
        </w:rPr>
        <w:t>рганизаци</w:t>
      </w:r>
      <w:r>
        <w:rPr>
          <w:rFonts w:ascii="PT Astra Serif" w:hAnsi="PT Astra Serif" w:cs="Times New Roman"/>
          <w:sz w:val="28"/>
          <w:szCs w:val="28"/>
        </w:rPr>
        <w:t>и застройки поселений муниципального образования Тазовский район;</w:t>
      </w:r>
    </w:p>
    <w:p>
      <w:pPr>
        <w:pStyle w:val="a5"/>
        <w:widowControl/>
        <w:numPr>
          <w:ilvl w:val="0"/>
          <w:numId w:val="7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формирование силуэта, архитектурного облика застройки  с учетом требований к качеству организации жилых, общественных, производственных территорий;</w:t>
      </w:r>
    </w:p>
    <w:p>
      <w:pPr>
        <w:pStyle w:val="a5"/>
        <w:widowControl/>
        <w:numPr>
          <w:ilvl w:val="0"/>
          <w:numId w:val="7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обеспечение пространственной связности отдельных элементов планировочной структуры, эффективности использования территорий поселений.</w:t>
      </w: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Предоставление решения о согласовании архитектурно-градостроительного облика объекта в равной мере распространяется                              на проектируемые объекты нового строительства, реконструируемые, ремонтируемые объекты, а также на существующие объекты в случае изменения внешнего вида фасадов.</w:t>
      </w: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Под изменением внешнего вида фасадов понимается:</w:t>
      </w:r>
    </w:p>
    <w:p>
      <w:pPr>
        <w:pStyle w:val="a5"/>
        <w:widowControl/>
        <w:numPr>
          <w:ilvl w:val="0"/>
          <w:numId w:val="9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создание, изменение или ликвидация крылец, навесов, козырьков, карнизов, балконов, лоджий, веранд, террас, пандусов, ниш, эркеров, декоративных элементов и конструкций (в пределах границ площади застройки здания), дверных, витринных, арочных и оконных проемов;</w:t>
      </w:r>
    </w:p>
    <w:p>
      <w:pPr>
        <w:pStyle w:val="a5"/>
        <w:widowControl/>
        <w:numPr>
          <w:ilvl w:val="0"/>
          <w:numId w:val="9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замена облицовочного материала; </w:t>
      </w:r>
    </w:p>
    <w:p>
      <w:pPr>
        <w:pStyle w:val="a5"/>
        <w:widowControl/>
        <w:numPr>
          <w:ilvl w:val="0"/>
          <w:numId w:val="9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изменение цветового решения фасада, его частей;</w:t>
      </w:r>
    </w:p>
    <w:p>
      <w:pPr>
        <w:pStyle w:val="a5"/>
        <w:widowControl/>
        <w:numPr>
          <w:ilvl w:val="0"/>
          <w:numId w:val="9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изменение конструкции крыши, материалы кровли, элементов безопасности крыши, элементов организационного наружного водостока (водосточные трубы, отливы, сливы и т.д.);</w:t>
      </w:r>
    </w:p>
    <w:p>
      <w:pPr>
        <w:pStyle w:val="a5"/>
        <w:widowControl/>
        <w:numPr>
          <w:ilvl w:val="0"/>
          <w:numId w:val="9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установка или демонтаж дополнительного оборудования (решетки, экраны, жалюзи, ограждения витрин, художественная подсветка); </w:t>
      </w:r>
    </w:p>
    <w:p>
      <w:pPr>
        <w:pStyle w:val="a5"/>
        <w:widowControl/>
        <w:numPr>
          <w:ilvl w:val="0"/>
          <w:numId w:val="9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установка (крепление) или демонтаж дополнительных элементов                         и устройств (растяжек, вывесок, флагштоков, кронштейнов, информационных табличек, указателей, элементов подсветки).</w:t>
      </w: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Настоящий Порядок не распространяется на объекты и</w:t>
      </w:r>
      <w:r>
        <w:rPr>
          <w:rFonts w:ascii="PT Astra Serif" w:hAnsi="PT Astra Serif" w:cs="Times New Roman"/>
          <w:spacing w:val="-20"/>
          <w:sz w:val="28"/>
          <w:szCs w:val="28"/>
        </w:rPr>
        <w:t>ндивидуальног</w:t>
      </w:r>
      <w:r>
        <w:rPr>
          <w:rFonts w:ascii="PT Astra Serif" w:hAnsi="PT Astra Serif" w:cs="Times New Roman"/>
          <w:sz w:val="28"/>
          <w:szCs w:val="28"/>
        </w:rPr>
        <w:t>о жилищного строительства, объекты культурного наследия (памятники истории и культуры), линейные объекты, на установку рекламных конструкций                             на фасадах зданий и сооружений, садовые дома.</w:t>
      </w:r>
    </w:p>
    <w:p>
      <w:pPr>
        <w:widowControl/>
        <w:tabs>
          <w:tab w:val="left" w:pos="1276"/>
        </w:tabs>
        <w:autoSpaceDE/>
        <w:autoSpaceDN/>
        <w:adjustRightInd/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Согласование архитектурно-градостроительного облика не требуется                      в случае:</w:t>
      </w:r>
    </w:p>
    <w:p>
      <w:pPr>
        <w:pStyle w:val="a5"/>
        <w:widowControl/>
        <w:numPr>
          <w:ilvl w:val="0"/>
          <w:numId w:val="11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соответствия внешнего вида фасадов проектной документации здания, строения, сооружения, не требующих дополнительных изменений;</w:t>
      </w:r>
    </w:p>
    <w:p>
      <w:pPr>
        <w:pStyle w:val="a5"/>
        <w:widowControl/>
        <w:numPr>
          <w:ilvl w:val="0"/>
          <w:numId w:val="11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соответствия ранее полученному согласованию, предусматривающему изменение внешнего вида фасадов, до вступления в силу настоящего Порядка.  </w:t>
      </w:r>
    </w:p>
    <w:p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pStyle w:val="a5"/>
        <w:widowControl/>
        <w:numPr>
          <w:ilvl w:val="0"/>
          <w:numId w:val="4"/>
        </w:numPr>
        <w:tabs>
          <w:tab w:val="left" w:pos="0"/>
        </w:tabs>
        <w:autoSpaceDE/>
        <w:autoSpaceDN/>
        <w:adjustRightInd/>
        <w:ind w:lef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Перечень документов, необходимых для принятия</w:t>
      </w:r>
    </w:p>
    <w:p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решения о согласовании</w:t>
      </w:r>
    </w:p>
    <w:p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Заявителями на получение решения о согласовании архитектурно-градостроительного облика объекта являются следующие физические                               (в том числе индивидуальные предприниматели) и юридические лица                        (далее - заявитель):</w:t>
      </w:r>
    </w:p>
    <w:p>
      <w:pPr>
        <w:pStyle w:val="a5"/>
        <w:widowControl/>
        <w:numPr>
          <w:ilvl w:val="2"/>
          <w:numId w:val="4"/>
        </w:numPr>
        <w:tabs>
          <w:tab w:val="left" w:pos="1560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правообладатели земельных участков, на которых планируется строительство объектов капитального строительства, элементов улично-дорожной сети, выходящих на проезжую часть;</w:t>
      </w:r>
    </w:p>
    <w:p>
      <w:pPr>
        <w:pStyle w:val="a5"/>
        <w:widowControl/>
        <w:numPr>
          <w:ilvl w:val="2"/>
          <w:numId w:val="4"/>
        </w:numPr>
        <w:tabs>
          <w:tab w:val="left" w:pos="1560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собственники зданий, строений, сооружений, помещений в них при проведении работ, связанных с изменением фасадов жилых и нежилых зданий, строений и сооружений, в том числе при:</w:t>
      </w:r>
    </w:p>
    <w:p>
      <w:pPr>
        <w:pStyle w:val="a5"/>
        <w:widowControl/>
        <w:numPr>
          <w:ilvl w:val="0"/>
          <w:numId w:val="12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реконструкции, капитальном ремонте зданий, строений, сооружений;</w:t>
      </w:r>
    </w:p>
    <w:p>
      <w:pPr>
        <w:pStyle w:val="a5"/>
        <w:widowControl/>
        <w:numPr>
          <w:ilvl w:val="0"/>
          <w:numId w:val="12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окраске фасадов зданий, строений, сооружений;</w:t>
      </w:r>
    </w:p>
    <w:p>
      <w:pPr>
        <w:pStyle w:val="a5"/>
        <w:widowControl/>
        <w:numPr>
          <w:ilvl w:val="0"/>
          <w:numId w:val="12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установке дополнительного оборудования на фасадах зданий, строений, сооружений.</w:t>
      </w: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Прием и рассмотрение заявлений о предоставлении решения                             о согласовании архитектурно-градостроительного облика объекта                                  на территории муниципального образования Тазовский район, а также прилагаемых к заявлению документов осуществляет отдел архитектуры                           и градостроительства </w:t>
      </w:r>
      <w:r>
        <w:rPr>
          <w:rFonts w:ascii="PT Astra Serif" w:hAnsi="PT Astra Serif" w:cs="Times New Roman"/>
          <w:spacing w:val="-20"/>
          <w:sz w:val="28"/>
          <w:szCs w:val="28"/>
        </w:rPr>
        <w:t>Администрации Тазовского</w:t>
      </w:r>
      <w:r>
        <w:rPr>
          <w:rFonts w:ascii="PT Astra Serif" w:hAnsi="PT Astra Serif" w:cs="Times New Roman"/>
          <w:sz w:val="28"/>
          <w:szCs w:val="28"/>
        </w:rPr>
        <w:t xml:space="preserve"> района (далее – Уполномоченный орган).</w:t>
      </w: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Для получения решения о согласовании архитектурно-градостроительного облика объекта заявитель направляет в Уполномоченный орган заявление о предоставлении решения о согласовании архитектурно-градостроительного облика на территории муниципального образования Тазовский район по форме, согласно приложению к настоящему Порядку (далее – заявление).</w:t>
      </w: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Перечень документов, прилагаемых к заявлению, которые заявитель должен предоставить самостоятельно:</w:t>
      </w:r>
    </w:p>
    <w:p>
      <w:pPr>
        <w:pStyle w:val="a5"/>
        <w:widowControl/>
        <w:numPr>
          <w:ilvl w:val="0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правоустанавливающие документы на земельный участок, здание, строение, сооружение, помещения в них, принадлежащие заявителю, если право на него не зарегистрировано в Едином государственном реестре недвижимости (оригинал) в 1 экземпляре;</w:t>
      </w:r>
    </w:p>
    <w:p>
      <w:pPr>
        <w:pStyle w:val="a5"/>
        <w:widowControl/>
        <w:numPr>
          <w:ilvl w:val="0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эскизный проект (на бумажном и электронном носителях) объекта капитального строительства, здания, строения, сооружения (далее – эскизный проект) в 1 экземпляре.</w:t>
      </w:r>
    </w:p>
    <w:p>
      <w:pPr>
        <w:widowControl/>
        <w:tabs>
          <w:tab w:val="left" w:pos="1134"/>
          <w:tab w:val="left" w:pos="1276"/>
        </w:tabs>
        <w:autoSpaceDE/>
        <w:autoSpaceDN/>
        <w:adjustRightInd/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эскизном проекте содержится информация об архитектурно-градостроительном облике вновь строящегося или подлежащего реконструкции, капитальному ремонту объекта. Информация об архитектурно-градостроительном облике должна содержать:</w:t>
      </w:r>
    </w:p>
    <w:p>
      <w:pPr>
        <w:pStyle w:val="a5"/>
        <w:widowControl/>
        <w:numPr>
          <w:ilvl w:val="0"/>
          <w:numId w:val="15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краткую пояснительную записку, содержащую характеристики                         и технико-экономические показатели объекта;</w:t>
      </w:r>
    </w:p>
    <w:p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описание объекта капитального строительства относительно окружающих его архитектурных объектов, его функциональное назначение;</w:t>
      </w:r>
    </w:p>
    <w:p>
      <w:pPr>
        <w:pStyle w:val="a5"/>
        <w:widowControl/>
        <w:numPr>
          <w:ilvl w:val="0"/>
          <w:numId w:val="15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ситуационный план расположения </w:t>
      </w:r>
      <w:r>
        <w:rPr>
          <w:rFonts w:ascii="PT Astra Serif" w:hAnsi="PT Astra Serif" w:cs="Times New Roman"/>
          <w:spacing w:val="-20"/>
          <w:sz w:val="28"/>
          <w:szCs w:val="28"/>
        </w:rPr>
        <w:t xml:space="preserve">проектируемого </w:t>
      </w:r>
      <w:r>
        <w:rPr>
          <w:rFonts w:ascii="PT Astra Serif" w:hAnsi="PT Astra Serif" w:cs="Times New Roman"/>
          <w:sz w:val="28"/>
          <w:szCs w:val="28"/>
        </w:rPr>
        <w:t>здания и сооружения (масштаб 1:1000 или 1:500);</w:t>
      </w:r>
    </w:p>
    <w:p>
      <w:pPr>
        <w:pStyle w:val="a5"/>
        <w:widowControl/>
        <w:numPr>
          <w:ilvl w:val="1"/>
          <w:numId w:val="16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схему планировочной организации земельного участка, радиусом                     не менее 50 метров от границ земельного участка на съемке в М 1:500                                с отображением границ земельного участка, мест размещения существующих                  и проектируемых объектов, с указанием существующих и проектируемых подъездов и подходов к ним, элементов благоустройства территории                                  и комплексного благоустройства, включая организацию парковок, выполненную в цвете;</w:t>
      </w:r>
    </w:p>
    <w:p>
      <w:pPr>
        <w:pStyle w:val="a5"/>
        <w:widowControl/>
        <w:numPr>
          <w:ilvl w:val="1"/>
          <w:numId w:val="16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фасады (главные, боковые, дворовые) и варианты (не менее трех) цветового решения фасадов с иллюстративным материалом по наружной отделке;</w:t>
      </w:r>
    </w:p>
    <w:p>
      <w:pPr>
        <w:pStyle w:val="a5"/>
        <w:widowControl/>
        <w:numPr>
          <w:ilvl w:val="1"/>
          <w:numId w:val="16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ведомость отделки фасадов с привязкой к каталогу RAL;</w:t>
      </w:r>
    </w:p>
    <w:p>
      <w:pPr>
        <w:pStyle w:val="a5"/>
        <w:widowControl/>
        <w:numPr>
          <w:ilvl w:val="1"/>
          <w:numId w:val="16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перспективные изображения проектируемого объекта, встроенные                     в материалы фотофиксации, с наиболее ответственных направлений                                    его восприятия (3</w:t>
      </w:r>
      <w:r>
        <w:rPr>
          <w:rFonts w:ascii="PT Astra Serif" w:hAnsi="PT Astra Serif" w:cs="Times New Roman"/>
          <w:sz w:val="28"/>
          <w:szCs w:val="28"/>
          <w:lang w:val="en-US"/>
        </w:rPr>
        <w:t>D</w:t>
      </w:r>
      <w:r>
        <w:rPr>
          <w:rFonts w:ascii="PT Astra Serif" w:hAnsi="PT Astra Serif" w:cs="Times New Roman"/>
          <w:sz w:val="28"/>
          <w:szCs w:val="28"/>
        </w:rPr>
        <w:t>-визуализация).</w:t>
      </w:r>
    </w:p>
    <w:p>
      <w:pPr>
        <w:pStyle w:val="a5"/>
        <w:widowControl/>
        <w:numPr>
          <w:ilvl w:val="1"/>
          <w:numId w:val="16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концепцию ночного освещения и ночной подсветки проектируемого здания и сооружения с описанием технических характеристик (для объектов, расположенных вдоль центральных улиц населенных пунктов Тазовского района).</w:t>
      </w: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При проведении работ, связанных с изменением фасадов жилых, нежилых зданий, строений, сооружений:</w:t>
      </w:r>
    </w:p>
    <w:p>
      <w:pPr>
        <w:pStyle w:val="a5"/>
        <w:widowControl/>
        <w:numPr>
          <w:ilvl w:val="0"/>
          <w:numId w:val="18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согласие всех собственников здания, строения, сооружения, помещений в них на проведение работ, связанных с изменением фасадов,                       в случае если здания, строения, сооружения, помещения в них принадлежат                      на праве собственности двум и более лицам (за исключением многоквартирных домов) в 1 экземпляре;</w:t>
      </w:r>
    </w:p>
    <w:p>
      <w:pPr>
        <w:pStyle w:val="a5"/>
        <w:widowControl/>
        <w:numPr>
          <w:ilvl w:val="0"/>
          <w:numId w:val="18"/>
        </w:numPr>
        <w:tabs>
          <w:tab w:val="left" w:pos="1134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решение общего собрания соб</w:t>
      </w:r>
      <w:r>
        <w:rPr>
          <w:rFonts w:ascii="PT Astra Serif" w:hAnsi="PT Astra Serif" w:cs="Times New Roman"/>
          <w:spacing w:val="-20"/>
          <w:sz w:val="28"/>
          <w:szCs w:val="28"/>
        </w:rPr>
        <w:t>стве</w:t>
      </w:r>
      <w:r>
        <w:rPr>
          <w:rFonts w:ascii="PT Astra Serif" w:hAnsi="PT Astra Serif" w:cs="Times New Roman"/>
          <w:sz w:val="28"/>
          <w:szCs w:val="28"/>
        </w:rPr>
        <w:t>нни</w:t>
      </w:r>
      <w:r>
        <w:rPr>
          <w:rFonts w:ascii="PT Astra Serif" w:hAnsi="PT Astra Serif" w:cs="Times New Roman"/>
          <w:spacing w:val="-20"/>
          <w:sz w:val="28"/>
          <w:szCs w:val="28"/>
        </w:rPr>
        <w:t>ков по</w:t>
      </w:r>
      <w:r>
        <w:rPr>
          <w:rFonts w:ascii="PT Astra Serif" w:hAnsi="PT Astra Serif" w:cs="Times New Roman"/>
          <w:sz w:val="28"/>
          <w:szCs w:val="28"/>
        </w:rPr>
        <w:t>мещ</w:t>
      </w:r>
      <w:r>
        <w:rPr>
          <w:rFonts w:ascii="PT Astra Serif" w:hAnsi="PT Astra Serif" w:cs="Times New Roman"/>
          <w:spacing w:val="-20"/>
          <w:sz w:val="28"/>
          <w:szCs w:val="28"/>
        </w:rPr>
        <w:t xml:space="preserve">ений в </w:t>
      </w:r>
      <w:r>
        <w:rPr>
          <w:rFonts w:ascii="PT Astra Serif" w:hAnsi="PT Astra Serif" w:cs="Times New Roman"/>
          <w:sz w:val="28"/>
          <w:szCs w:val="28"/>
        </w:rPr>
        <w:t>мн</w:t>
      </w:r>
      <w:r>
        <w:rPr>
          <w:rFonts w:ascii="PT Astra Serif" w:hAnsi="PT Astra Serif" w:cs="Times New Roman"/>
          <w:spacing w:val="-20"/>
          <w:sz w:val="28"/>
          <w:szCs w:val="28"/>
        </w:rPr>
        <w:t>ого</w:t>
      </w:r>
      <w:r>
        <w:rPr>
          <w:rFonts w:ascii="PT Astra Serif" w:hAnsi="PT Astra Serif" w:cs="Times New Roman"/>
          <w:sz w:val="28"/>
          <w:szCs w:val="28"/>
        </w:rPr>
        <w:t>ква</w:t>
      </w:r>
      <w:r>
        <w:rPr>
          <w:rFonts w:ascii="PT Astra Serif" w:hAnsi="PT Astra Serif" w:cs="Times New Roman"/>
          <w:spacing w:val="-20"/>
          <w:sz w:val="28"/>
          <w:szCs w:val="28"/>
        </w:rPr>
        <w:t xml:space="preserve">ртирном </w:t>
      </w:r>
      <w:r>
        <w:rPr>
          <w:rFonts w:ascii="PT Astra Serif" w:hAnsi="PT Astra Serif" w:cs="Times New Roman"/>
          <w:sz w:val="28"/>
          <w:szCs w:val="28"/>
        </w:rPr>
        <w:t>доме по вопросам проведения работ, связанных с изменением фасадов, оформленное протоколом общего собрания собственников помещений                              в многоквартирном жилом доме, в соответствии с требованиями, установленными жилищным законодательством (для многоквартирных домов), или согласие управляющей компании, уполномоченной на данные действия (оригинал) в 1 экземпляре.</w:t>
      </w: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Требования, предъявляемые к эскизному проекту, указанному                       в пункте 4.4 настоящего Порядка: </w:t>
      </w:r>
    </w:p>
    <w:p>
      <w:pPr>
        <w:widowControl/>
        <w:tabs>
          <w:tab w:val="left" w:pos="1276"/>
        </w:tabs>
        <w:autoSpaceDE/>
        <w:autoSpaceDN/>
        <w:adjustRightInd/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Эскизный проект предоставляется:</w:t>
      </w:r>
    </w:p>
    <w:p>
      <w:pPr>
        <w:pStyle w:val="a5"/>
        <w:widowControl/>
        <w:numPr>
          <w:ilvl w:val="2"/>
          <w:numId w:val="4"/>
        </w:numPr>
        <w:tabs>
          <w:tab w:val="left" w:pos="1560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Эскизный проект предоставляется:</w:t>
      </w:r>
    </w:p>
    <w:p>
      <w:pPr>
        <w:pStyle w:val="a5"/>
        <w:widowControl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бумажном виде с цветными иллюстрациями (графическими материалами) в виде буклета (альбома) в 2 экземплярах;</w:t>
      </w:r>
    </w:p>
    <w:p>
      <w:pPr>
        <w:pStyle w:val="a5"/>
        <w:widowControl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электронном виде в формате </w:t>
      </w:r>
      <w:r>
        <w:rPr>
          <w:rFonts w:ascii="PT Astra Serif" w:hAnsi="PT Astra Serif" w:cs="Times New Roman"/>
          <w:sz w:val="28"/>
          <w:szCs w:val="28"/>
          <w:lang w:val="en-US"/>
        </w:rPr>
        <w:t>PDF</w:t>
      </w:r>
      <w:r>
        <w:rPr>
          <w:rFonts w:ascii="PT Astra Serif" w:hAnsi="PT Astra Serif" w:cs="Times New Roman"/>
          <w:sz w:val="28"/>
          <w:szCs w:val="28"/>
        </w:rPr>
        <w:t xml:space="preserve">, </w:t>
      </w:r>
      <w:r>
        <w:rPr>
          <w:rFonts w:ascii="PT Astra Serif" w:hAnsi="PT Astra Serif" w:cs="Times New Roman"/>
          <w:sz w:val="28"/>
          <w:szCs w:val="28"/>
          <w:lang w:val="en-US"/>
        </w:rPr>
        <w:t>JPEG</w:t>
      </w:r>
      <w:r>
        <w:rPr>
          <w:rFonts w:ascii="PT Astra Serif" w:hAnsi="PT Astra Serif" w:cs="Times New Roman"/>
          <w:sz w:val="28"/>
          <w:szCs w:val="28"/>
        </w:rPr>
        <w:t xml:space="preserve">, </w:t>
      </w:r>
      <w:r>
        <w:rPr>
          <w:rFonts w:ascii="PT Astra Serif" w:hAnsi="PT Astra Serif" w:cs="Times New Roman"/>
          <w:sz w:val="28"/>
          <w:szCs w:val="28"/>
          <w:lang w:val="en-US"/>
        </w:rPr>
        <w:t>MapInfo</w:t>
      </w:r>
      <w:r>
        <w:rPr>
          <w:rFonts w:ascii="PT Astra Serif" w:hAnsi="PT Astra Serif" w:cs="Times New Roman"/>
          <w:sz w:val="28"/>
          <w:szCs w:val="28"/>
        </w:rPr>
        <w:t xml:space="preserve"> в 1 экземпляре.</w:t>
      </w:r>
    </w:p>
    <w:p>
      <w:pPr>
        <w:pStyle w:val="a5"/>
        <w:widowControl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Требования к оформлению буклетов (альбомов):</w:t>
      </w:r>
    </w:p>
    <w:p>
      <w:pPr>
        <w:pStyle w:val="a5"/>
        <w:widowControl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выполняются в формате А4 или А3;</w:t>
      </w:r>
    </w:p>
    <w:p>
      <w:pPr>
        <w:pStyle w:val="a5"/>
        <w:widowControl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титульные листы должны быть подписаны заказчиком и авторами архитектурно-градостроительного облика объекта;</w:t>
      </w:r>
    </w:p>
    <w:p>
      <w:pPr>
        <w:pStyle w:val="a5"/>
        <w:widowControl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схемы ситуационного плана, благоустройства территории и планы этажей выполняются с экспликацией;</w:t>
      </w:r>
    </w:p>
    <w:p>
      <w:pPr>
        <w:pStyle w:val="a5"/>
        <w:widowControl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схемы фасадов выполняются с колористическим решением объекта.</w:t>
      </w:r>
    </w:p>
    <w:p>
      <w:pPr>
        <w:pStyle w:val="a5"/>
        <w:widowControl/>
        <w:numPr>
          <w:ilvl w:val="1"/>
          <w:numId w:val="4"/>
        </w:numPr>
        <w:tabs>
          <w:tab w:val="left" w:pos="271"/>
          <w:tab w:val="left" w:pos="1276"/>
        </w:tabs>
        <w:autoSpaceDE/>
        <w:autoSpaceDN/>
        <w:adjustRightInd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Документы, представляемые заявителем, должны соответствовать следующим требованиям:</w:t>
      </w:r>
    </w:p>
    <w:p>
      <w:pPr>
        <w:pStyle w:val="a5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документах не должно быть подчисток, приписок, зачеркнутых слов и иных неоговоренных исправлений;</w:t>
      </w:r>
    </w:p>
    <w:p>
      <w:pPr>
        <w:pStyle w:val="a5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документы не должны быть исполнены карандашом;</w:t>
      </w:r>
    </w:p>
    <w:p>
      <w:pPr>
        <w:pStyle w:val="a5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документы не должны иметь повреждений, наличие которых допускает многозначность истолкования содержания.</w:t>
      </w:r>
    </w:p>
    <w:p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pStyle w:val="a5"/>
        <w:widowControl/>
        <w:numPr>
          <w:ilvl w:val="0"/>
          <w:numId w:val="4"/>
        </w:numPr>
        <w:tabs>
          <w:tab w:val="left" w:pos="0"/>
        </w:tabs>
        <w:autoSpaceDE/>
        <w:autoSpaceDN/>
        <w:adjustRightInd/>
        <w:ind w:lef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Порядок рассмотрения документов и принятия решения</w:t>
      </w:r>
    </w:p>
    <w:p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Согласование архитектурно-градостроительного облика объекта осуществляется в течение 15 рабочих дней со дня поступления соответствующего заявления, указанного в разделе </w:t>
      </w:r>
      <w:r>
        <w:rPr>
          <w:rFonts w:ascii="PT Astra Serif" w:hAnsi="PT Astra Serif" w:cs="Times New Roman"/>
          <w:sz w:val="28"/>
          <w:szCs w:val="28"/>
          <w:lang w:val="en-US"/>
        </w:rPr>
        <w:t>IV</w:t>
      </w:r>
      <w:r>
        <w:rPr>
          <w:rFonts w:ascii="PT Astra Serif" w:hAnsi="PT Astra Serif" w:cs="Times New Roman"/>
          <w:sz w:val="28"/>
          <w:szCs w:val="28"/>
        </w:rPr>
        <w:t xml:space="preserve"> настоящего Порядка. </w:t>
      </w: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Рассмотрение документов осуществляется Градостроительным Советом муниципального образования Тазовский район в соответствии                             с Положением о Градостроительном Совете, утвержденным муниципальным правовым актом Администрации муниципального образования Тазовский район.</w:t>
      </w: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 результатам рассмотрения заявления принимается:</w:t>
      </w:r>
    </w:p>
    <w:p>
      <w:pPr>
        <w:pStyle w:val="a5"/>
        <w:widowControl/>
        <w:numPr>
          <w:ilvl w:val="0"/>
          <w:numId w:val="21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решение о согласовании архитектурно-градостроительного облика объекта на территории Тазовского района (далее - решение о согласовании);</w:t>
      </w:r>
    </w:p>
    <w:p>
      <w:pPr>
        <w:pStyle w:val="a5"/>
        <w:widowControl/>
        <w:numPr>
          <w:ilvl w:val="0"/>
          <w:numId w:val="21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решение об отказе в согласовании архитектурно-градостроительного облика объекта на территории Тазовского района (далее - решение об отказе                   в согласовании) с указанием причин и оснований для отказа.</w:t>
      </w: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Основаниями для отказа в согласовании архитектурно-градостроительного облика объекта являются:</w:t>
      </w:r>
    </w:p>
    <w:p>
      <w:pPr>
        <w:pStyle w:val="a5"/>
        <w:widowControl/>
        <w:numPr>
          <w:ilvl w:val="0"/>
          <w:numId w:val="22"/>
        </w:numPr>
        <w:tabs>
          <w:tab w:val="left" w:pos="1134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не предоставлены документы, предусмотренные пунктом 4.4 настоящего Порядка;</w:t>
      </w:r>
    </w:p>
    <w:p>
      <w:pPr>
        <w:pStyle w:val="a5"/>
        <w:widowControl/>
        <w:numPr>
          <w:ilvl w:val="0"/>
          <w:numId w:val="22"/>
        </w:numPr>
        <w:tabs>
          <w:tab w:val="left" w:pos="1134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наличие в заявлении или прилагаемых к нему документах недостоверных сведений;</w:t>
      </w:r>
    </w:p>
    <w:p>
      <w:pPr>
        <w:pStyle w:val="a5"/>
        <w:widowControl/>
        <w:numPr>
          <w:ilvl w:val="0"/>
          <w:numId w:val="22"/>
        </w:numPr>
        <w:tabs>
          <w:tab w:val="left" w:pos="1134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несоответствие оформления эскизного проекта требованиям, предусмотренным пунктом 4.6 настоящего Порядка;</w:t>
      </w:r>
    </w:p>
    <w:p>
      <w:pPr>
        <w:pStyle w:val="a5"/>
        <w:widowControl/>
        <w:numPr>
          <w:ilvl w:val="0"/>
          <w:numId w:val="22"/>
        </w:numPr>
        <w:tabs>
          <w:tab w:val="left" w:pos="1134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несоответствие параметров объекта требованиям, содержащимся                      в документах территориального планирования, градостроительного зонирования, документации по планировке территории, градостроительном плане земельного участка, а так же нормативам градостроительного проектирования, техническим регламентам;</w:t>
      </w:r>
    </w:p>
    <w:p>
      <w:pPr>
        <w:pStyle w:val="a5"/>
        <w:widowControl/>
        <w:numPr>
          <w:ilvl w:val="0"/>
          <w:numId w:val="22"/>
        </w:numPr>
        <w:tabs>
          <w:tab w:val="left" w:pos="1134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несоответствие архитектурно-градостроительного облика объекта сложившимся особенностям и характеристикам территории, в том числе историко-культурным, </w:t>
      </w:r>
      <w:r>
        <w:rPr>
          <w:rFonts w:ascii="PT Astra Serif" w:hAnsi="PT Astra Serif" w:cs="Times New Roman"/>
          <w:spacing w:val="-20"/>
          <w:sz w:val="28"/>
          <w:szCs w:val="28"/>
        </w:rPr>
        <w:t>визуально-ландшафтным, функциональным</w:t>
      </w:r>
      <w:r>
        <w:rPr>
          <w:rFonts w:ascii="PT Astra Serif" w:hAnsi="PT Astra Serif" w:cs="Times New Roman"/>
          <w:sz w:val="28"/>
          <w:szCs w:val="28"/>
        </w:rPr>
        <w:t xml:space="preserve">, планировочным, архитектурно-градостроительным особенностям, включая композиционные, типологические, </w:t>
      </w:r>
      <w:r>
        <w:rPr>
          <w:rFonts w:ascii="PT Astra Serif" w:hAnsi="PT Astra Serif" w:cs="Times New Roman"/>
          <w:spacing w:val="-20"/>
          <w:sz w:val="28"/>
          <w:szCs w:val="28"/>
        </w:rPr>
        <w:t>масштабные, стилистические</w:t>
      </w:r>
      <w:r>
        <w:rPr>
          <w:rFonts w:ascii="PT Astra Serif" w:hAnsi="PT Astra Serif" w:cs="Times New Roman"/>
          <w:sz w:val="28"/>
          <w:szCs w:val="28"/>
        </w:rPr>
        <w:t>, колористические характеристики окружающей застройке.</w:t>
      </w: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Решения подписываются первым заместителем главы А</w:t>
      </w:r>
      <w:r>
        <w:rPr>
          <w:rFonts w:ascii="PT Astra Serif" w:hAnsi="PT Astra Serif" w:cs="Times New Roman"/>
          <w:spacing w:val="-20"/>
          <w:sz w:val="28"/>
          <w:szCs w:val="28"/>
        </w:rPr>
        <w:t>дминистрации</w:t>
      </w:r>
      <w:r>
        <w:rPr>
          <w:rFonts w:ascii="PT Astra Serif" w:hAnsi="PT Astra Serif" w:cs="Times New Roman"/>
          <w:sz w:val="28"/>
          <w:szCs w:val="28"/>
        </w:rPr>
        <w:t xml:space="preserve"> Тазовского района, начальником отдела архитектуры и градостроительства Администрации Тазовского района.</w:t>
      </w: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Выдача (направление) заявителю решения о согласовании                                  или об отказе в согласовании архитектурно-градостроительного облика объекта осуществляется Уполномоченным органом.</w:t>
      </w: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Принятие решения об отказе в согласовании архитектурно-градостроительного облика объекта не является препятствием для повторного обращения заявителя с заявлением в соответствии с настоящим Порядком.</w:t>
      </w:r>
    </w:p>
    <w:p>
      <w:pPr>
        <w:pStyle w:val="a5"/>
        <w:widowControl/>
        <w:numPr>
          <w:ilvl w:val="1"/>
          <w:numId w:val="4"/>
        </w:numPr>
        <w:tabs>
          <w:tab w:val="left" w:pos="1276"/>
        </w:tabs>
        <w:autoSpaceDE/>
        <w:autoSpaceDN/>
        <w:adjustRightInd/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Принятие решения о согласовании или об отказе в согласовании архитектурно-градостроительного облика объекта хранятся в Уполномоченном органе.</w:t>
      </w:r>
    </w:p>
    <w:sectPr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797108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>
        <w:pPr>
          <w:pStyle w:val="a6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3</w:t>
        </w:r>
        <w:r>
          <w:rPr>
            <w:rFonts w:ascii="PT Astra Serif" w:hAnsi="PT Astra Serif"/>
          </w:rPr>
          <w:fldChar w:fldCharType="end"/>
        </w:r>
      </w:p>
    </w:sdtContent>
  </w:sdt>
  <w:p>
    <w:pPr>
      <w:pStyle w:val="a6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45BE"/>
    <w:multiLevelType w:val="multilevel"/>
    <w:tmpl w:val="C0D436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ascii="PT Astra Serif" w:hAnsi="PT Astra Serif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ascii="PT Astra Serif" w:hAnsi="PT Astra Serif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PT Astra Serif" w:hAnsi="PT Astra Serif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ascii="PT Astra Serif" w:hAnsi="PT Astra Serif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ascii="PT Astra Serif" w:hAnsi="PT Astra Serif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ascii="PT Astra Serif" w:hAnsi="PT Astra Serif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ascii="PT Astra Serif" w:hAnsi="PT Astra Serif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ascii="PT Astra Serif" w:hAnsi="PT Astra Serif" w:cs="Times New Roman" w:hint="default"/>
        <w:sz w:val="28"/>
      </w:rPr>
    </w:lvl>
  </w:abstractNum>
  <w:abstractNum w:abstractNumId="1">
    <w:nsid w:val="019F57C6"/>
    <w:multiLevelType w:val="hybridMultilevel"/>
    <w:tmpl w:val="44C6F36C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77F87"/>
    <w:multiLevelType w:val="multilevel"/>
    <w:tmpl w:val="C0D436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ascii="PT Astra Serif" w:hAnsi="PT Astra Serif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ascii="PT Astra Serif" w:hAnsi="PT Astra Serif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PT Astra Serif" w:hAnsi="PT Astra Serif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ascii="PT Astra Serif" w:hAnsi="PT Astra Serif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ascii="PT Astra Serif" w:hAnsi="PT Astra Serif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ascii="PT Astra Serif" w:hAnsi="PT Astra Serif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ascii="PT Astra Serif" w:hAnsi="PT Astra Serif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ascii="PT Astra Serif" w:hAnsi="PT Astra Serif" w:cs="Times New Roman" w:hint="default"/>
        <w:sz w:val="28"/>
      </w:rPr>
    </w:lvl>
  </w:abstractNum>
  <w:abstractNum w:abstractNumId="3">
    <w:nsid w:val="059F600D"/>
    <w:multiLevelType w:val="hybridMultilevel"/>
    <w:tmpl w:val="44364DF8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166BB7"/>
    <w:multiLevelType w:val="hybridMultilevel"/>
    <w:tmpl w:val="0F4ACEBE"/>
    <w:lvl w:ilvl="0" w:tplc="217AB7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01278D"/>
    <w:multiLevelType w:val="hybridMultilevel"/>
    <w:tmpl w:val="300E0FB2"/>
    <w:lvl w:ilvl="0" w:tplc="FB6E59D2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207D12"/>
    <w:multiLevelType w:val="hybridMultilevel"/>
    <w:tmpl w:val="E5582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76C7E"/>
    <w:multiLevelType w:val="hybridMultilevel"/>
    <w:tmpl w:val="E6B0B3B0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A93C6F"/>
    <w:multiLevelType w:val="hybridMultilevel"/>
    <w:tmpl w:val="D0D400EE"/>
    <w:lvl w:ilvl="0" w:tplc="19682354">
      <w:start w:val="1"/>
      <w:numFmt w:val="upperRoman"/>
      <w:lvlText w:val="%1."/>
      <w:lvlJc w:val="left"/>
      <w:pPr>
        <w:ind w:left="4123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9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0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  <w:rPr>
        <w:rFonts w:cs="Times New Roman"/>
      </w:rPr>
    </w:lvl>
  </w:abstractNum>
  <w:abstractNum w:abstractNumId="9">
    <w:nsid w:val="2E286A45"/>
    <w:multiLevelType w:val="hybridMultilevel"/>
    <w:tmpl w:val="3B9E64B0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17AB7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613740"/>
    <w:multiLevelType w:val="hybridMultilevel"/>
    <w:tmpl w:val="A4609054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B85E51"/>
    <w:multiLevelType w:val="multilevel"/>
    <w:tmpl w:val="C0D436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ascii="PT Astra Serif" w:hAnsi="PT Astra Serif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ascii="PT Astra Serif" w:hAnsi="PT Astra Serif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PT Astra Serif" w:hAnsi="PT Astra Serif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ascii="PT Astra Serif" w:hAnsi="PT Astra Serif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ascii="PT Astra Serif" w:hAnsi="PT Astra Serif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ascii="PT Astra Serif" w:hAnsi="PT Astra Serif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ascii="PT Astra Serif" w:hAnsi="PT Astra Serif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ascii="PT Astra Serif" w:hAnsi="PT Astra Serif" w:cs="Times New Roman" w:hint="default"/>
        <w:sz w:val="28"/>
      </w:rPr>
    </w:lvl>
  </w:abstractNum>
  <w:abstractNum w:abstractNumId="12">
    <w:nsid w:val="397D34FE"/>
    <w:multiLevelType w:val="multilevel"/>
    <w:tmpl w:val="C0D436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ascii="PT Astra Serif" w:hAnsi="PT Astra Serif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ascii="PT Astra Serif" w:hAnsi="PT Astra Serif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PT Astra Serif" w:hAnsi="PT Astra Serif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ascii="PT Astra Serif" w:hAnsi="PT Astra Serif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ascii="PT Astra Serif" w:hAnsi="PT Astra Serif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ascii="PT Astra Serif" w:hAnsi="PT Astra Serif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ascii="PT Astra Serif" w:hAnsi="PT Astra Serif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ascii="PT Astra Serif" w:hAnsi="PT Astra Serif" w:cs="Times New Roman" w:hint="default"/>
        <w:sz w:val="28"/>
      </w:rPr>
    </w:lvl>
  </w:abstractNum>
  <w:abstractNum w:abstractNumId="13">
    <w:nsid w:val="3B2423F7"/>
    <w:multiLevelType w:val="hybridMultilevel"/>
    <w:tmpl w:val="D01AECFE"/>
    <w:lvl w:ilvl="0" w:tplc="217AB7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C7F13CE"/>
    <w:multiLevelType w:val="hybridMultilevel"/>
    <w:tmpl w:val="16DEBE3C"/>
    <w:lvl w:ilvl="0" w:tplc="217AB7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D843E50"/>
    <w:multiLevelType w:val="multilevel"/>
    <w:tmpl w:val="C0D436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ascii="PT Astra Serif" w:hAnsi="PT Astra Serif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ascii="PT Astra Serif" w:hAnsi="PT Astra Serif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PT Astra Serif" w:hAnsi="PT Astra Serif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ascii="PT Astra Serif" w:hAnsi="PT Astra Serif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ascii="PT Astra Serif" w:hAnsi="PT Astra Serif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ascii="PT Astra Serif" w:hAnsi="PT Astra Serif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ascii="PT Astra Serif" w:hAnsi="PT Astra Serif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ascii="PT Astra Serif" w:hAnsi="PT Astra Serif" w:cs="Times New Roman" w:hint="default"/>
        <w:sz w:val="28"/>
      </w:rPr>
    </w:lvl>
  </w:abstractNum>
  <w:abstractNum w:abstractNumId="16">
    <w:nsid w:val="3DE253E6"/>
    <w:multiLevelType w:val="multilevel"/>
    <w:tmpl w:val="C0D436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ascii="PT Astra Serif" w:hAnsi="PT Astra Serif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ascii="PT Astra Serif" w:hAnsi="PT Astra Serif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PT Astra Serif" w:hAnsi="PT Astra Serif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ascii="PT Astra Serif" w:hAnsi="PT Astra Serif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ascii="PT Astra Serif" w:hAnsi="PT Astra Serif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ascii="PT Astra Serif" w:hAnsi="PT Astra Serif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ascii="PT Astra Serif" w:hAnsi="PT Astra Serif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ascii="PT Astra Serif" w:hAnsi="PT Astra Serif" w:cs="Times New Roman" w:hint="default"/>
        <w:sz w:val="28"/>
      </w:rPr>
    </w:lvl>
  </w:abstractNum>
  <w:abstractNum w:abstractNumId="17">
    <w:nsid w:val="3FCA6E1A"/>
    <w:multiLevelType w:val="hybridMultilevel"/>
    <w:tmpl w:val="302EC5D6"/>
    <w:lvl w:ilvl="0" w:tplc="217AB7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C5F186C"/>
    <w:multiLevelType w:val="hybridMultilevel"/>
    <w:tmpl w:val="42508BAE"/>
    <w:lvl w:ilvl="0" w:tplc="0419000F">
      <w:start w:val="1"/>
      <w:numFmt w:val="decimal"/>
      <w:lvlText w:val="%1."/>
      <w:lvlJc w:val="left"/>
      <w:pPr>
        <w:ind w:left="1396" w:hanging="360"/>
      </w:pPr>
    </w:lvl>
    <w:lvl w:ilvl="1" w:tplc="04190019" w:tentative="1">
      <w:start w:val="1"/>
      <w:numFmt w:val="lowerLetter"/>
      <w:lvlText w:val="%2."/>
      <w:lvlJc w:val="left"/>
      <w:pPr>
        <w:ind w:left="2116" w:hanging="360"/>
      </w:pPr>
    </w:lvl>
    <w:lvl w:ilvl="2" w:tplc="0419001B" w:tentative="1">
      <w:start w:val="1"/>
      <w:numFmt w:val="lowerRoman"/>
      <w:lvlText w:val="%3."/>
      <w:lvlJc w:val="right"/>
      <w:pPr>
        <w:ind w:left="2836" w:hanging="180"/>
      </w:pPr>
    </w:lvl>
    <w:lvl w:ilvl="3" w:tplc="0419000F" w:tentative="1">
      <w:start w:val="1"/>
      <w:numFmt w:val="decimal"/>
      <w:lvlText w:val="%4."/>
      <w:lvlJc w:val="left"/>
      <w:pPr>
        <w:ind w:left="3556" w:hanging="360"/>
      </w:pPr>
    </w:lvl>
    <w:lvl w:ilvl="4" w:tplc="04190019" w:tentative="1">
      <w:start w:val="1"/>
      <w:numFmt w:val="lowerLetter"/>
      <w:lvlText w:val="%5."/>
      <w:lvlJc w:val="left"/>
      <w:pPr>
        <w:ind w:left="4276" w:hanging="360"/>
      </w:pPr>
    </w:lvl>
    <w:lvl w:ilvl="5" w:tplc="0419001B" w:tentative="1">
      <w:start w:val="1"/>
      <w:numFmt w:val="lowerRoman"/>
      <w:lvlText w:val="%6."/>
      <w:lvlJc w:val="right"/>
      <w:pPr>
        <w:ind w:left="4996" w:hanging="180"/>
      </w:pPr>
    </w:lvl>
    <w:lvl w:ilvl="6" w:tplc="0419000F" w:tentative="1">
      <w:start w:val="1"/>
      <w:numFmt w:val="decimal"/>
      <w:lvlText w:val="%7."/>
      <w:lvlJc w:val="left"/>
      <w:pPr>
        <w:ind w:left="5716" w:hanging="360"/>
      </w:pPr>
    </w:lvl>
    <w:lvl w:ilvl="7" w:tplc="04190019" w:tentative="1">
      <w:start w:val="1"/>
      <w:numFmt w:val="lowerLetter"/>
      <w:lvlText w:val="%8."/>
      <w:lvlJc w:val="left"/>
      <w:pPr>
        <w:ind w:left="6436" w:hanging="360"/>
      </w:pPr>
    </w:lvl>
    <w:lvl w:ilvl="8" w:tplc="0419001B" w:tentative="1">
      <w:start w:val="1"/>
      <w:numFmt w:val="lowerRoman"/>
      <w:lvlText w:val="%9."/>
      <w:lvlJc w:val="right"/>
      <w:pPr>
        <w:ind w:left="7156" w:hanging="180"/>
      </w:pPr>
    </w:lvl>
  </w:abstractNum>
  <w:abstractNum w:abstractNumId="19">
    <w:nsid w:val="517D5FAE"/>
    <w:multiLevelType w:val="hybridMultilevel"/>
    <w:tmpl w:val="9FB68ADE"/>
    <w:lvl w:ilvl="0" w:tplc="F9FCBEF8">
      <w:start w:val="3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5A6D46D9"/>
    <w:multiLevelType w:val="hybridMultilevel"/>
    <w:tmpl w:val="5B1EF506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110D7B"/>
    <w:multiLevelType w:val="multilevel"/>
    <w:tmpl w:val="C0D436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ascii="PT Astra Serif" w:hAnsi="PT Astra Serif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ascii="PT Astra Serif" w:hAnsi="PT Astra Serif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PT Astra Serif" w:hAnsi="PT Astra Serif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ascii="PT Astra Serif" w:hAnsi="PT Astra Serif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ascii="PT Astra Serif" w:hAnsi="PT Astra Serif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ascii="PT Astra Serif" w:hAnsi="PT Astra Serif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ascii="PT Astra Serif" w:hAnsi="PT Astra Serif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ascii="PT Astra Serif" w:hAnsi="PT Astra Serif" w:cs="Times New Roman" w:hint="default"/>
        <w:sz w:val="28"/>
      </w:rPr>
    </w:lvl>
  </w:abstractNum>
  <w:abstractNum w:abstractNumId="22">
    <w:nsid w:val="6EEE62CF"/>
    <w:multiLevelType w:val="hybridMultilevel"/>
    <w:tmpl w:val="B4B8A256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0A33E3"/>
    <w:multiLevelType w:val="multilevel"/>
    <w:tmpl w:val="C0D436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ascii="PT Astra Serif" w:hAnsi="PT Astra Serif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ascii="PT Astra Serif" w:hAnsi="PT Astra Serif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PT Astra Serif" w:hAnsi="PT Astra Serif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ascii="PT Astra Serif" w:hAnsi="PT Astra Serif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ascii="PT Astra Serif" w:hAnsi="PT Astra Serif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ascii="PT Astra Serif" w:hAnsi="PT Astra Serif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ascii="PT Astra Serif" w:hAnsi="PT Astra Serif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ascii="PT Astra Serif" w:hAnsi="PT Astra Serif" w:cs="Times New Roman" w:hint="default"/>
        <w:sz w:val="28"/>
      </w:rPr>
    </w:lvl>
  </w:abstractNum>
  <w:abstractNum w:abstractNumId="24">
    <w:nsid w:val="7E1D6B11"/>
    <w:multiLevelType w:val="multilevel"/>
    <w:tmpl w:val="C0D436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ascii="PT Astra Serif" w:hAnsi="PT Astra Serif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ascii="PT Astra Serif" w:hAnsi="PT Astra Serif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PT Astra Serif" w:hAnsi="PT Astra Serif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ascii="PT Astra Serif" w:hAnsi="PT Astra Serif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ascii="PT Astra Serif" w:hAnsi="PT Astra Serif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ascii="PT Astra Serif" w:hAnsi="PT Astra Serif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ascii="PT Astra Serif" w:hAnsi="PT Astra Serif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ascii="PT Astra Serif" w:hAnsi="PT Astra Serif" w:cs="Times New Roman" w:hint="default"/>
        <w:sz w:val="28"/>
      </w:rPr>
    </w:lvl>
  </w:abstractNum>
  <w:num w:numId="1">
    <w:abstractNumId w:val="8"/>
  </w:num>
  <w:num w:numId="2">
    <w:abstractNumId w:val="19"/>
  </w:num>
  <w:num w:numId="3">
    <w:abstractNumId w:val="6"/>
  </w:num>
  <w:num w:numId="4">
    <w:abstractNumId w:val="23"/>
  </w:num>
  <w:num w:numId="5">
    <w:abstractNumId w:val="16"/>
  </w:num>
  <w:num w:numId="6">
    <w:abstractNumId w:val="18"/>
  </w:num>
  <w:num w:numId="7">
    <w:abstractNumId w:val="7"/>
  </w:num>
  <w:num w:numId="8">
    <w:abstractNumId w:val="12"/>
  </w:num>
  <w:num w:numId="9">
    <w:abstractNumId w:val="3"/>
  </w:num>
  <w:num w:numId="10">
    <w:abstractNumId w:val="15"/>
  </w:num>
  <w:num w:numId="11">
    <w:abstractNumId w:val="1"/>
  </w:num>
  <w:num w:numId="12">
    <w:abstractNumId w:val="10"/>
  </w:num>
  <w:num w:numId="13">
    <w:abstractNumId w:val="21"/>
  </w:num>
  <w:num w:numId="14">
    <w:abstractNumId w:val="22"/>
  </w:num>
  <w:num w:numId="15">
    <w:abstractNumId w:val="20"/>
  </w:num>
  <w:num w:numId="16">
    <w:abstractNumId w:val="9"/>
  </w:num>
  <w:num w:numId="17">
    <w:abstractNumId w:val="24"/>
  </w:num>
  <w:num w:numId="18">
    <w:abstractNumId w:val="4"/>
  </w:num>
  <w:num w:numId="19">
    <w:abstractNumId w:val="13"/>
  </w:num>
  <w:num w:numId="20">
    <w:abstractNumId w:val="17"/>
  </w:num>
  <w:num w:numId="21">
    <w:abstractNumId w:val="5"/>
  </w:num>
  <w:num w:numId="22">
    <w:abstractNumId w:val="14"/>
  </w:num>
  <w:num w:numId="23">
    <w:abstractNumId w:val="2"/>
  </w:num>
  <w:num w:numId="24">
    <w:abstractNumId w:val="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04D37F-7874-478C-8744-66A08B66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pPr>
      <w:ind w:firstLine="0"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VVF1">
    <w:name w:val="СтильVVF1"/>
    <w:basedOn w:val="a"/>
    <w:pPr>
      <w:suppressAutoHyphens/>
      <w:autoSpaceDN/>
      <w:adjustRightInd/>
      <w:spacing w:before="120"/>
      <w:ind w:firstLine="567"/>
      <w:jc w:val="center"/>
    </w:pPr>
    <w:rPr>
      <w:rFonts w:ascii="Times New Roman" w:hAnsi="Times New Roman" w:cs="Times New Roman"/>
      <w:szCs w:val="20"/>
      <w:lang w:val="en-US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9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22040-FBBB-480B-917E-FB75F3A37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6</Pages>
  <Words>2012</Words>
  <Characters>11469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Инна Михайловна</dc:creator>
  <cp:keywords/>
  <dc:description/>
  <cp:lastModifiedBy>Фадеева Алена Михайловна</cp:lastModifiedBy>
  <cp:revision>37</cp:revision>
  <cp:lastPrinted>2020-03-06T04:37:00Z</cp:lastPrinted>
  <dcterms:created xsi:type="dcterms:W3CDTF">2020-01-20T11:43:00Z</dcterms:created>
  <dcterms:modified xsi:type="dcterms:W3CDTF">2020-03-06T04:37:00Z</dcterms:modified>
</cp:coreProperties>
</file>