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jc w:val="both"/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  <w:t xml:space="preserve">УТВЕРЖДЕНА </w:t>
      </w:r>
    </w:p>
    <w:p>
      <w:pPr>
        <w:autoSpaceDE w:val="0"/>
        <w:autoSpaceDN w:val="0"/>
        <w:adjustRightInd w:val="0"/>
        <w:ind w:left="5103"/>
        <w:jc w:val="both"/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  <w:t xml:space="preserve">постановлением </w:t>
      </w:r>
    </w:p>
    <w:p>
      <w:pPr>
        <w:autoSpaceDE w:val="0"/>
        <w:autoSpaceDN w:val="0"/>
        <w:adjustRightInd w:val="0"/>
        <w:ind w:left="5103"/>
        <w:jc w:val="both"/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  <w:t xml:space="preserve">Администрации Тазовского района </w:t>
      </w:r>
    </w:p>
    <w:p>
      <w:pPr>
        <w:autoSpaceDE w:val="0"/>
        <w:autoSpaceDN w:val="0"/>
        <w:adjustRightInd w:val="0"/>
        <w:ind w:left="5103"/>
        <w:jc w:val="both"/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 w:eastAsia="ru-RU"/>
        </w:rPr>
        <w:t>от 02 марта 2020 года № 190</w:t>
      </w:r>
      <w:bookmarkStart w:id="0" w:name="_GoBack"/>
      <w:bookmarkEnd w:id="0"/>
    </w:p>
    <w:p>
      <w:pPr>
        <w:pStyle w:val="ConsPlusTitle"/>
        <w:spacing w:after="0" w:line="240" w:lineRule="auto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>
      <w:pPr>
        <w:pStyle w:val="ConsPlusTitle"/>
        <w:spacing w:after="0" w:line="240" w:lineRule="auto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>
      <w:pPr>
        <w:pStyle w:val="ConsPlusTitle"/>
        <w:spacing w:after="0" w:line="240" w:lineRule="auto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>
      <w:pPr>
        <w:shd w:val="clear" w:color="auto" w:fill="FFFFFF"/>
        <w:jc w:val="center"/>
        <w:textAlignment w:val="baseline"/>
        <w:outlineLvl w:val="1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b/>
          <w:color w:val="000000" w:themeColor="text1"/>
          <w:spacing w:val="2"/>
          <w:sz w:val="28"/>
          <w:szCs w:val="28"/>
          <w:lang w:val="ru-RU"/>
        </w:rPr>
        <w:t>МЕТОДИКА</w:t>
      </w:r>
    </w:p>
    <w:p>
      <w:pPr>
        <w:shd w:val="clear" w:color="auto" w:fill="FFFFFF"/>
        <w:jc w:val="center"/>
        <w:textAlignment w:val="baseline"/>
        <w:outlineLvl w:val="1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b/>
          <w:color w:val="000000" w:themeColor="text1"/>
          <w:spacing w:val="2"/>
          <w:sz w:val="28"/>
          <w:szCs w:val="28"/>
          <w:lang w:val="ru-RU"/>
        </w:rPr>
        <w:t xml:space="preserve">оценки эффективности использования объектов </w:t>
      </w:r>
    </w:p>
    <w:p>
      <w:pPr>
        <w:shd w:val="clear" w:color="auto" w:fill="FFFFFF"/>
        <w:jc w:val="center"/>
        <w:textAlignment w:val="baseline"/>
        <w:outlineLvl w:val="1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b/>
          <w:color w:val="000000" w:themeColor="text1"/>
          <w:spacing w:val="2"/>
          <w:sz w:val="28"/>
          <w:szCs w:val="28"/>
          <w:lang w:val="ru-RU"/>
        </w:rPr>
        <w:t>недвижимого имущества, находящихся в собственности муниципального образования Тазовский район</w:t>
      </w:r>
    </w:p>
    <w:p>
      <w:pPr>
        <w:shd w:val="clear" w:color="auto" w:fill="FFFFFF"/>
        <w:jc w:val="center"/>
        <w:textAlignment w:val="baseline"/>
        <w:outlineLvl w:val="1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jc w:val="center"/>
        <w:textAlignment w:val="baseline"/>
        <w:outlineLvl w:val="1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Методика оценки эффективности использования объектов недвижимого имущества, находящихся в собственности муниципального образования Тазовский район, (далее – методика) определяет процедуру взаимодействия отраслевых (функциональных) органов Администрации Тазовского района (далее – район), муниципальных учреждений                             района, муниципальных унитарных предприятий района (далее – учреждения, предприятия) по осуществлению оценки эффективности использования объектов недвижимого имущества, находящихся в муниципальной собственности района, включая земельные участки (далее – объекты недвижимого имущества, земельные участки), за исключением:</w:t>
      </w:r>
    </w:p>
    <w:p>
      <w:pPr>
        <w:pStyle w:val="aa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объектов недвижимого имущества, не имеющих площадных характеристик;</w:t>
      </w:r>
    </w:p>
    <w:p>
      <w:pPr>
        <w:pStyle w:val="aa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объектов незавершенного строительства;</w:t>
      </w:r>
    </w:p>
    <w:p>
      <w:pPr>
        <w:pStyle w:val="aa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eastAsiaTheme="minorHAnsi" w:hAnsi="PT Astra Serif" w:cs="PT Astra Serif"/>
          <w:sz w:val="28"/>
          <w:szCs w:val="28"/>
          <w:lang w:val="ru-RU"/>
        </w:rPr>
        <w:t>объектов жилищного фонда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.</w:t>
      </w:r>
    </w:p>
    <w:p>
      <w:pPr>
        <w:pStyle w:val="aa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Для целей настоящей методики под эффективным использованием объектов недвижимого имущества, земельных участков понимается:</w:t>
      </w:r>
    </w:p>
    <w:p>
      <w:pPr>
        <w:pStyle w:val="aa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использование их по целевому назначению и в соответствии                               с предметом, целями и видами деятельности учреждений и предприятий, определенными их уставами;</w:t>
      </w:r>
    </w:p>
    <w:p>
      <w:pPr>
        <w:pStyle w:val="aa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отсутствие фактов их использования третьими лицами без правовых оснований.</w:t>
      </w:r>
    </w:p>
    <w:p>
      <w:pPr>
        <w:pStyle w:val="aa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Оценка эффективности использования объектов недвижимого имущества, земельных участков проводится в целях оптимизации механизмов управления таким имуществом, повышения эффективности распоряжения им, увеличения доходов от его использования.</w:t>
      </w:r>
    </w:p>
    <w:p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  <w:t xml:space="preserve">Муниципальные образования района, отраслевые (функциональные) органы Администрации района, учреждения и предприятия ежегодно,                            не позднее 01 марта года, следующего за отчетным, представляют                                 в </w:t>
      </w:r>
      <w:r>
        <w:rPr>
          <w:rFonts w:ascii="PT Astra Serif" w:hAnsi="PT Astra Serif"/>
          <w:sz w:val="28"/>
          <w:szCs w:val="28"/>
          <w:lang w:val="ru-RU"/>
        </w:rPr>
        <w:t>уполномоченный Администрацией района орган в сфере управления муниципальным имуществом (Департамент имущественных и земельных отношений Администрации Тазовского района)</w:t>
      </w:r>
      <w:r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  <w:t xml:space="preserve"> следующие документы:</w:t>
      </w:r>
    </w:p>
    <w:p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lastRenderedPageBreak/>
        <w:t>сведения об объектах недвижимого имущества по форме согласно приложению № 1;</w:t>
      </w:r>
    </w:p>
    <w:p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>сведения о земельных участках по форме согласно приложению № 2 к настоящей методике;</w:t>
      </w:r>
    </w:p>
    <w:p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>сведения об арендаторах (пользователях) объектов недвижимого имущества по форме согласно приложению № 3 к настоящей методике;</w:t>
      </w:r>
    </w:p>
    <w:p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spacing w:val="2"/>
          <w:sz w:val="28"/>
          <w:szCs w:val="28"/>
        </w:rPr>
        <w:t xml:space="preserve">информацию о мероприятиях, проведенных учреждениями                                 и предприятиями </w:t>
      </w:r>
      <w:r>
        <w:rPr>
          <w:rFonts w:ascii="PT Astra Serif" w:hAnsi="PT Astra Serif"/>
          <w:sz w:val="28"/>
          <w:szCs w:val="28"/>
        </w:rPr>
        <w:t>по вовлечению выявленных неиспользуемых объектов недвижимого имущества, земельных участков в хозяйственный оборот, повышению эффективности использования такого имущества.</w:t>
      </w:r>
      <w:r>
        <w:rPr>
          <w:rFonts w:ascii="PT Astra Serif" w:eastAsia="Times New Roman" w:hAnsi="PT Astra Serif"/>
          <w:spacing w:val="2"/>
          <w:sz w:val="28"/>
          <w:szCs w:val="28"/>
        </w:rPr>
        <w:t xml:space="preserve"> </w:t>
      </w: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 xml:space="preserve"> </w:t>
      </w:r>
    </w:p>
    <w:p>
      <w:pPr>
        <w:pStyle w:val="a5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>Сведения, указанные в абзацах втором – четвертом настоящего пункта, представляются в отношении объектов, закрепленных за учреждением, предприятием на праве оперативного управления, хозяйственного ведения,                    а также земельных участков, предоставленных на праве постоянного (бессрочного) пользования, аренды по состоянию на 01 января года, следующего за отчетным.</w:t>
      </w:r>
    </w:p>
    <w:p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z w:val="28"/>
          <w:szCs w:val="28"/>
        </w:rPr>
        <w:t>У</w:t>
      </w: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 xml:space="preserve">полномоченный в сфере управления муниципальным имуществом орган </w:t>
      </w:r>
      <w:r>
        <w:rPr>
          <w:rFonts w:ascii="PT Astra Serif" w:eastAsia="Times New Roman" w:hAnsi="PT Astra Serif"/>
          <w:color w:val="000000" w:themeColor="text1"/>
          <w:sz w:val="28"/>
          <w:szCs w:val="28"/>
        </w:rPr>
        <w:t>ежегодно, до 14 марта года, следующего за отчетным, осуществляет:</w:t>
      </w:r>
    </w:p>
    <w:p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>сбор и анализ представленных учреждениями, предприятиями сведений;</w:t>
      </w:r>
    </w:p>
    <w:p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>определение показателей эффективности использования объектов недвижимого имущества, земельных участков, предусмотренных пунктом 6 настоящей методики;</w:t>
      </w:r>
    </w:p>
    <w:p>
      <w:pPr>
        <w:pStyle w:val="aa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 xml:space="preserve">формирование сводных значений показателей эффективности использования объектов недвижимого имущества, земельных участков учреждениями, предприятиями 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val="ru-RU"/>
        </w:rPr>
        <w:t>для принятия управленческих решений</w:t>
      </w:r>
      <w:r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  <w:t>:</w:t>
      </w:r>
    </w:p>
    <w:p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>сведений, указанных в приложении № 4 к настоящей методике;</w:t>
      </w:r>
    </w:p>
    <w:p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</w:pP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 xml:space="preserve">сведений, указанных в абзацах втором – четвертом пункта 4 настоящей методики, – в случае наличия фактов использования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объекта недвижимого имущества, земельного участка по нецелевому назначению,                     их использования третьими лицами без правовых оснований</w:t>
      </w:r>
      <w:r>
        <w:rPr>
          <w:rFonts w:ascii="PT Astra Serif" w:eastAsia="Times New Roman" w:hAnsi="PT Astra Serif"/>
          <w:color w:val="000000" w:themeColor="text1"/>
          <w:spacing w:val="2"/>
          <w:sz w:val="28"/>
          <w:szCs w:val="28"/>
        </w:rPr>
        <w:t>.</w:t>
      </w:r>
      <w:r>
        <w:rPr>
          <w:rFonts w:ascii="PT Astra Serif" w:eastAsiaTheme="minorHAnsi" w:hAnsi="PT Astra Serif"/>
          <w:color w:val="000000" w:themeColor="text1"/>
          <w:sz w:val="28"/>
          <w:szCs w:val="28"/>
        </w:rPr>
        <w:t xml:space="preserve"> </w:t>
      </w:r>
    </w:p>
    <w:p>
      <w:pPr>
        <w:pStyle w:val="aa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Определение показателей эффективности использования объектов недвижимого имущества и анализ их значений осуществляется в следующем порядке:</w:t>
      </w:r>
    </w:p>
    <w:p>
      <w:pPr>
        <w:pStyle w:val="aa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показатель эффективности использования объекта недвижимого имущества, закрепленного за учреждением, определяется по формуле: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Cambria Math"/>
              <w:color w:val="000000" w:themeColor="text1"/>
              <w:spacing w:val="2"/>
              <w:sz w:val="28"/>
              <w:szCs w:val="28"/>
            </w:rPr>
            <m:t>Nуч.(%)</m:t>
          </m:r>
          <m:r>
            <m:rPr>
              <m:sty m:val="p"/>
            </m:rPr>
            <w:rPr>
              <w:rFonts w:ascii="Cambria Math" w:hAnsi="Cambria Math" w:cs="Cambria Math"/>
              <w:color w:val="000000" w:themeColor="text1"/>
              <w:spacing w:val="2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Arial"/>
                  <w:color w:val="000000" w:themeColor="text1"/>
                  <w:spacing w:val="2"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  <m:t>общ.</m:t>
                  </m:r>
                </m:sub>
              </m:sSub>
              <m:r>
                <w:rPr>
                  <w:rFonts w:ascii="Cambria Math" w:hAnsi="Cambria Math" w:cs="Cambria Math"/>
                  <w:color w:val="000000" w:themeColor="text1"/>
                  <w:spacing w:val="2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  <m:t>исп.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i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 w:cs="Cambria Math"/>
                      <w:color w:val="000000" w:themeColor="text1"/>
                      <w:spacing w:val="2"/>
                      <w:sz w:val="28"/>
                      <w:szCs w:val="28"/>
                      <w:lang w:val="ru-RU"/>
                    </w:rPr>
                    <m:t>общ.</m:t>
                  </m:r>
                </m:sub>
              </m:sSub>
            </m:den>
          </m:f>
          <m:r>
            <w:rPr>
              <w:rFonts w:ascii="Cambria Math" w:hAnsi="Cambria Math" w:cs="Arial"/>
              <w:color w:val="000000" w:themeColor="text1"/>
              <w:spacing w:val="2"/>
              <w:sz w:val="28"/>
              <w:szCs w:val="28"/>
              <w:lang w:val="ru-RU"/>
            </w:rPr>
            <m:t>×100,</m:t>
          </m:r>
        </m:oMath>
      </m:oMathPara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/>
          <w:noProof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где: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общ. – общая площадь объекта недвижимого имущества;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исп. – площадь объекта недвижимого имущества, используемая учреждением, рассчитанная по формуле: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center"/>
        <w:textAlignment w:val="baseline"/>
        <w:rPr>
          <w:rFonts w:ascii="PT Astra Serif" w:hAnsi="PT Astra Serif" w:cs="Arial"/>
          <w:i/>
          <w:color w:val="000000" w:themeColor="text1"/>
          <w:spacing w:val="2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исп.</m:t>
            </m:r>
          </m:sub>
        </m:sSub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д.</m:t>
            </m:r>
          </m:sub>
        </m:sSub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ар.</m:t>
            </m:r>
          </m:sub>
        </m:sSub>
      </m:oMath>
      <w:r>
        <w:rPr>
          <w:rFonts w:ascii="PT Astra Serif" w:hAnsi="PT Astra Serif" w:cs="Arial"/>
          <w:i/>
          <w:color w:val="000000" w:themeColor="text1"/>
          <w:spacing w:val="2"/>
          <w:sz w:val="28"/>
          <w:szCs w:val="28"/>
          <w:lang w:val="ru-RU"/>
        </w:rPr>
        <w:t>,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где: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д. – площадь объекта недвижимого имущества, используемая учреждением, в том числе площадь помещений общего пользования (</w:t>
      </w:r>
      <w:r>
        <w:rPr>
          <w:rFonts w:ascii="PT Astra Serif" w:hAnsi="PT Astra Serif" w:cs="Arial"/>
          <w:color w:val="2D2D2D"/>
          <w:spacing w:val="2"/>
          <w:sz w:val="28"/>
          <w:szCs w:val="28"/>
          <w:lang w:val="ru-RU"/>
        </w:rPr>
        <w:t>коридоров, холлов, рекреаций, фойе, тамбуров, переходов, лестничных клеток, лифтовых шахт, внутренних открытых лестниц, помещений, предназначенных для размещения инженерного оборудования и инженерных сетей)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;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ар. – площадь объекта недвижимого имущества, переданная                               в пользование третьим лицам по договорам аренды, безвозмездного пользования, иным основаниям.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Объект недвижимого имущества признается неэффективно используемым и учредителем</w:t>
      </w:r>
      <w:r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  <w:t xml:space="preserve"> учреждений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 xml:space="preserve"> осуществляется подготовка предложений по повышению эффективности использования объекта недвижимого имущества при значении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N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уч. ≥ 10%;</w:t>
      </w:r>
    </w:p>
    <w:p>
      <w:pPr>
        <w:pStyle w:val="aa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показатель эффективности использования объекта недвижимого имущества, закрепленного за предприятием, определяется по формуле: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m:oMath>
        <m:r>
          <w:rPr>
            <w:rFonts w:ascii="Cambria Math" w:hAnsi="Cambria Math" w:cs="Cambria Math"/>
            <w:color w:val="000000" w:themeColor="text1"/>
            <w:spacing w:val="2"/>
            <w:sz w:val="28"/>
            <w:szCs w:val="28"/>
          </w:rPr>
          <m:t>N</m:t>
        </m:r>
        <m:r>
          <w:rPr>
            <w:rFonts w:ascii="Cambria Math" w:hAnsi="Cambria Math" w:cs="Cambria Math"/>
            <w:color w:val="000000" w:themeColor="text1"/>
            <w:spacing w:val="2"/>
            <w:sz w:val="28"/>
            <w:szCs w:val="28"/>
            <w:lang w:val="ru-RU"/>
          </w:rPr>
          <m:t>пр.(%)</m:t>
        </m:r>
        <m:r>
          <m:rPr>
            <m:sty m:val="p"/>
          </m:rPr>
          <w:rPr>
            <w:rFonts w:ascii="Cambria Math" w:hAnsi="Cambria Math" w:cs="Cambria Math"/>
            <w:color w:val="000000" w:themeColor="text1"/>
            <w:spacing w:val="2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  <m:t>общ.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color w:val="000000" w:themeColor="text1"/>
                <w:spacing w:val="2"/>
                <w:sz w:val="28"/>
                <w:szCs w:val="28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  <m:t>исп.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color w:val="000000" w:themeColor="text1"/>
                    <w:spacing w:val="2"/>
                    <w:sz w:val="28"/>
                    <w:szCs w:val="28"/>
                    <w:lang w:val="ru-RU"/>
                  </w:rPr>
                  <m:t>общ.</m:t>
                </m:r>
              </m:sub>
            </m:sSub>
          </m:den>
        </m:f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×100</m:t>
        </m:r>
      </m:oMath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,</w:t>
      </w:r>
    </w:p>
    <w:p>
      <w:pPr>
        <w:shd w:val="clear" w:color="auto" w:fill="FFFFFF"/>
        <w:tabs>
          <w:tab w:val="left" w:pos="1134"/>
        </w:tabs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где:</w:t>
      </w:r>
    </w:p>
    <w:p>
      <w:pPr>
        <w:shd w:val="clear" w:color="auto" w:fill="FFFFFF"/>
        <w:tabs>
          <w:tab w:val="left" w:pos="1134"/>
        </w:tabs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общ. – общая площадь объекта недвижимого имущества;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исп. – площадь объекта недвижимого имущества, используемая предприятием, рассчитанная по формуле: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center"/>
        <w:textAlignment w:val="baseline"/>
        <w:rPr>
          <w:rFonts w:ascii="PT Astra Serif" w:hAnsi="PT Astra Serif" w:cs="Arial"/>
          <w:i/>
          <w:color w:val="000000" w:themeColor="text1"/>
          <w:spacing w:val="2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исп.</m:t>
            </m:r>
          </m:sub>
        </m:sSub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уд.</m:t>
            </m:r>
          </m:sub>
        </m:sSub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ар.</m:t>
            </m:r>
          </m:sub>
        </m:sSub>
      </m:oMath>
      <w:r>
        <w:rPr>
          <w:rFonts w:ascii="PT Astra Serif" w:hAnsi="PT Astra Serif" w:cs="Arial"/>
          <w:i/>
          <w:color w:val="000000" w:themeColor="text1"/>
          <w:spacing w:val="2"/>
          <w:sz w:val="28"/>
          <w:szCs w:val="28"/>
          <w:lang w:val="ru-RU"/>
        </w:rPr>
        <w:t>,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где: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уд. – площадь объекта недвижимого имущества, используемая                        для осуществления уставной деятельности предприятия, в том числе площадь помещений общего пользования (</w:t>
      </w:r>
      <w:r>
        <w:rPr>
          <w:rFonts w:ascii="PT Astra Serif" w:hAnsi="PT Astra Serif" w:cs="Arial"/>
          <w:color w:val="2D2D2D"/>
          <w:spacing w:val="2"/>
          <w:sz w:val="28"/>
          <w:szCs w:val="28"/>
          <w:lang w:val="ru-RU"/>
        </w:rPr>
        <w:t>коридоров, холлов, рекреаций, фойе, тамбуров, переходов, лестничных клеток, лифтовых шахт, внутренних открытых лестниц, помещений, предназначенных для размещения инженерного оборудования и инженерных сетей)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;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ар. – площадь объекта недвижимого имущества, переданная                               в пользование третьим лицам по договорам аренды, безвозмездного пользования, иным основаниям.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 xml:space="preserve">Объект недвижимого имущества признается неэффективно используемым и отраслевым органом осуществляется подготовка предложений по повышению эффективности использования объекта недвижимого имущества при значении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N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пр. ≥ 10%;</w:t>
      </w:r>
    </w:p>
    <w:p>
      <w:pPr>
        <w:pStyle w:val="aa"/>
        <w:numPr>
          <w:ilvl w:val="0"/>
          <w:numId w:val="10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показатель эффективности использования земельного участка определяется по формуле: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center"/>
        <w:textAlignment w:val="baseline"/>
        <w:rPr>
          <w:rFonts w:ascii="PT Astra Serif" w:hAnsi="PT Astra Serif" w:cs="Arial"/>
          <w:i/>
          <w:color w:val="000000" w:themeColor="text1"/>
          <w:spacing w:val="2"/>
          <w:sz w:val="28"/>
          <w:szCs w:val="28"/>
          <w:lang w:val="ru-RU"/>
        </w:rPr>
      </w:pPr>
      <m:oMath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</w:rPr>
          <w:lastRenderedPageBreak/>
          <m:t>N</m:t>
        </m:r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зу.=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общ.</m:t>
            </m:r>
          </m:sub>
        </m:sSub>
        <m:r>
          <w:rPr>
            <w:rFonts w:ascii="Cambria Math" w:hAnsi="Cambria Math" w:cs="Arial"/>
            <w:color w:val="000000" w:themeColor="text1"/>
            <w:spacing w:val="2"/>
            <w:sz w:val="28"/>
            <w:szCs w:val="28"/>
            <w:lang w:val="ru-RU"/>
          </w:rPr>
          <m:t>-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pacing w:val="2"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Arial"/>
                <w:color w:val="000000" w:themeColor="text1"/>
                <w:spacing w:val="2"/>
                <w:sz w:val="28"/>
                <w:szCs w:val="28"/>
                <w:lang w:val="ru-RU"/>
              </w:rPr>
              <m:t>исп.</m:t>
            </m:r>
          </m:sub>
        </m:sSub>
      </m:oMath>
      <w:r>
        <w:rPr>
          <w:rFonts w:ascii="PT Astra Serif" w:hAnsi="PT Astra Serif" w:cs="Arial"/>
          <w:i/>
          <w:color w:val="000000" w:themeColor="text1"/>
          <w:spacing w:val="2"/>
          <w:sz w:val="28"/>
          <w:szCs w:val="28"/>
          <w:lang w:val="ru-RU"/>
        </w:rPr>
        <w:t>,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где: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общ. – общая площадь земельного участка;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S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исп. – площадь земельного участка, используемая по целевому назначению (с учетом вида разрешенного использования, градостроительных, санитарных и иных норм и правил).</w:t>
      </w:r>
    </w:p>
    <w:p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Часть земельного участка признается неиспользуемой и учредителем</w:t>
      </w:r>
      <w:r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  <w:t xml:space="preserve"> государственных учреждений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 xml:space="preserve">(отраслевым органом) осуществляется подготовка предложений по повышению эффективности использования земельного участка, если значение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N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  <w:lang w:val="ru-RU"/>
        </w:rPr>
        <w:t>зу. превышает установленные градостроительным регламентом предельные (минимальные) размеры земельных участков.</w:t>
      </w:r>
    </w:p>
    <w:p>
      <w:pPr>
        <w:tabs>
          <w:tab w:val="left" w:pos="1134"/>
          <w:tab w:val="left" w:pos="5520"/>
        </w:tabs>
        <w:ind w:firstLine="709"/>
        <w:rPr>
          <w:rFonts w:ascii="PT Astra Serif" w:hAnsi="PT Astra Serif" w:cs="Arial"/>
          <w:sz w:val="28"/>
          <w:szCs w:val="28"/>
          <w:lang w:val="ru-RU"/>
        </w:rPr>
      </w:pPr>
    </w:p>
    <w:p>
      <w:pPr>
        <w:tabs>
          <w:tab w:val="left" w:pos="1134"/>
          <w:tab w:val="left" w:pos="5520"/>
        </w:tabs>
        <w:ind w:firstLine="709"/>
        <w:rPr>
          <w:rFonts w:ascii="PT Astra Serif" w:hAnsi="PT Astra Serif" w:cs="Arial"/>
          <w:sz w:val="28"/>
          <w:szCs w:val="28"/>
          <w:lang w:val="ru-RU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682207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  <w:lang w:val="ru-RU"/>
          </w:rPr>
          <w:t>3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15FC2"/>
    <w:multiLevelType w:val="hybridMultilevel"/>
    <w:tmpl w:val="3934E9C8"/>
    <w:lvl w:ilvl="0" w:tplc="F446C95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BC1436"/>
    <w:multiLevelType w:val="hybridMultilevel"/>
    <w:tmpl w:val="29D09748"/>
    <w:lvl w:ilvl="0" w:tplc="217AB76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E3167F4"/>
    <w:multiLevelType w:val="hybridMultilevel"/>
    <w:tmpl w:val="A8F2F5E0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92963"/>
    <w:multiLevelType w:val="hybridMultilevel"/>
    <w:tmpl w:val="63066A0A"/>
    <w:lvl w:ilvl="0" w:tplc="09E4C7B2">
      <w:start w:val="1"/>
      <w:numFmt w:val="decimal"/>
      <w:lvlText w:val="%1."/>
      <w:lvlJc w:val="left"/>
      <w:pPr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FB6757"/>
    <w:multiLevelType w:val="hybridMultilevel"/>
    <w:tmpl w:val="6FB295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D2F2460"/>
    <w:multiLevelType w:val="hybridMultilevel"/>
    <w:tmpl w:val="0C5811BA"/>
    <w:lvl w:ilvl="0" w:tplc="769CA4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FD03008"/>
    <w:multiLevelType w:val="hybridMultilevel"/>
    <w:tmpl w:val="B84CCAFA"/>
    <w:lvl w:ilvl="0" w:tplc="769CA4F0">
      <w:start w:val="1"/>
      <w:numFmt w:val="decimal"/>
      <w:lvlText w:val="%1)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2EA656D"/>
    <w:multiLevelType w:val="hybridMultilevel"/>
    <w:tmpl w:val="87265A04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8B40BE"/>
    <w:multiLevelType w:val="hybridMultilevel"/>
    <w:tmpl w:val="0EC4CB08"/>
    <w:lvl w:ilvl="0" w:tplc="217AB76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D10325E"/>
    <w:multiLevelType w:val="hybridMultilevel"/>
    <w:tmpl w:val="06B6F58E"/>
    <w:lvl w:ilvl="0" w:tplc="09E4C7B2">
      <w:start w:val="1"/>
      <w:numFmt w:val="decimal"/>
      <w:lvlText w:val="%1."/>
      <w:lvlJc w:val="left"/>
      <w:pPr>
        <w:ind w:left="2734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4021A5-965D-44D3-B4E9-019FCC27A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 Spacing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Times New Roman" w:hAnsi="Calibri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Арсеньева ЛИ</dc:creator>
  <cp:keywords/>
  <dc:description/>
  <cp:lastModifiedBy>Фадеева Алена Михайловна</cp:lastModifiedBy>
  <cp:revision>10</cp:revision>
  <cp:lastPrinted>2020-03-03T06:54:00Z</cp:lastPrinted>
  <dcterms:created xsi:type="dcterms:W3CDTF">2020-02-07T10:30:00Z</dcterms:created>
  <dcterms:modified xsi:type="dcterms:W3CDTF">2020-03-03T06:55:00Z</dcterms:modified>
</cp:coreProperties>
</file>