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360" w:lineRule="auto"/>
        <w:ind w:left="4820"/>
        <w:rPr>
          <w:rFonts w:ascii="PT Astra Serif" w:hAnsi="PT Astra Serif" w:cs="Times New Roman"/>
          <w:sz w:val="28"/>
          <w:szCs w:val="28"/>
        </w:rPr>
      </w:pPr>
      <w:r>
        <w:rPr>
          <w:rFonts w:ascii="PT Astra Serif" w:hAnsi="PT Astra Serif" w:cs="Times New Roman"/>
          <w:sz w:val="28"/>
          <w:szCs w:val="28"/>
        </w:rPr>
        <w:t>УТВЕРЖДЕН</w:t>
      </w:r>
    </w:p>
    <w:p>
      <w:pPr>
        <w:spacing w:after="0" w:line="240" w:lineRule="auto"/>
        <w:ind w:left="4820"/>
        <w:rPr>
          <w:rFonts w:ascii="PT Astra Serif" w:hAnsi="PT Astra Serif" w:cs="Times New Roman"/>
          <w:sz w:val="28"/>
          <w:szCs w:val="28"/>
        </w:rPr>
      </w:pPr>
      <w:r>
        <w:rPr>
          <w:rFonts w:ascii="PT Astra Serif" w:hAnsi="PT Astra Serif" w:cs="Times New Roman"/>
          <w:sz w:val="28"/>
          <w:szCs w:val="28"/>
        </w:rPr>
        <w:t>постановлением</w:t>
      </w:r>
    </w:p>
    <w:p>
      <w:pPr>
        <w:spacing w:after="0" w:line="240" w:lineRule="auto"/>
        <w:ind w:left="4820"/>
        <w:rPr>
          <w:rFonts w:ascii="PT Astra Serif" w:hAnsi="PT Astra Serif" w:cs="Times New Roman"/>
          <w:sz w:val="28"/>
          <w:szCs w:val="28"/>
        </w:rPr>
      </w:pPr>
      <w:r>
        <w:rPr>
          <w:rFonts w:ascii="PT Astra Serif" w:hAnsi="PT Astra Serif" w:cs="Times New Roman"/>
          <w:sz w:val="28"/>
          <w:szCs w:val="28"/>
        </w:rPr>
        <w:t>Администрации Тазовского района</w:t>
      </w:r>
    </w:p>
    <w:p>
      <w:pPr>
        <w:spacing w:after="0" w:line="240" w:lineRule="auto"/>
        <w:ind w:left="4820"/>
        <w:rPr>
          <w:rFonts w:ascii="PT Astra Serif" w:hAnsi="PT Astra Serif" w:cs="Times New Roman"/>
          <w:sz w:val="28"/>
          <w:szCs w:val="28"/>
        </w:rPr>
      </w:pPr>
      <w:r>
        <w:rPr>
          <w:rFonts w:ascii="PT Astra Serif" w:hAnsi="PT Astra Serif" w:cs="Times New Roman"/>
          <w:sz w:val="28"/>
          <w:szCs w:val="28"/>
        </w:rPr>
        <w:t>от 24 февраля 2021 года № 129-п</w:t>
      </w:r>
      <w:bookmarkStart w:id="0" w:name="_GoBack"/>
      <w:bookmarkEnd w:id="0"/>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b/>
          <w:sz w:val="28"/>
          <w:szCs w:val="28"/>
        </w:rPr>
      </w:pPr>
      <w:r>
        <w:rPr>
          <w:rFonts w:ascii="PT Astra Serif" w:hAnsi="PT Astra Serif" w:cs="Times New Roman"/>
          <w:b/>
          <w:sz w:val="28"/>
          <w:szCs w:val="28"/>
        </w:rPr>
        <w:t>ПОРЯДОК</w:t>
      </w:r>
    </w:p>
    <w:p>
      <w:pPr>
        <w:spacing w:after="0" w:line="240" w:lineRule="auto"/>
        <w:jc w:val="center"/>
        <w:rPr>
          <w:rFonts w:ascii="PT Astra Serif" w:hAnsi="PT Astra Serif" w:cs="Times New Roman"/>
          <w:b/>
          <w:sz w:val="28"/>
          <w:szCs w:val="28"/>
        </w:rPr>
      </w:pPr>
      <w:r>
        <w:rPr>
          <w:rFonts w:ascii="PT Astra Serif" w:hAnsi="PT Astra Serif" w:cs="Times New Roman"/>
          <w:b/>
          <w:sz w:val="28"/>
          <w:szCs w:val="28"/>
        </w:rPr>
        <w:t>составления и утверждения плана финансово-хозяйственной</w:t>
      </w:r>
    </w:p>
    <w:p>
      <w:pPr>
        <w:spacing w:after="0" w:line="240" w:lineRule="auto"/>
        <w:jc w:val="center"/>
        <w:rPr>
          <w:rFonts w:ascii="PT Astra Serif" w:hAnsi="PT Astra Serif" w:cs="Times New Roman"/>
          <w:b/>
          <w:sz w:val="28"/>
          <w:szCs w:val="28"/>
        </w:rPr>
      </w:pPr>
      <w:r>
        <w:rPr>
          <w:rFonts w:ascii="PT Astra Serif" w:hAnsi="PT Astra Serif" w:cs="Times New Roman"/>
          <w:b/>
          <w:sz w:val="28"/>
          <w:szCs w:val="28"/>
        </w:rPr>
        <w:t>деятельности муниципального бюджетного учреждения</w:t>
      </w:r>
    </w:p>
    <w:p>
      <w:pPr>
        <w:spacing w:after="0" w:line="240" w:lineRule="auto"/>
        <w:jc w:val="center"/>
        <w:rPr>
          <w:rFonts w:ascii="PT Astra Serif" w:hAnsi="PT Astra Serif" w:cs="Times New Roman"/>
          <w:b/>
          <w:sz w:val="28"/>
          <w:szCs w:val="28"/>
        </w:rPr>
      </w:pPr>
      <w:r>
        <w:rPr>
          <w:rFonts w:ascii="PT Astra Serif" w:hAnsi="PT Astra Serif" w:cs="Times New Roman"/>
          <w:b/>
          <w:sz w:val="28"/>
          <w:szCs w:val="28"/>
        </w:rPr>
        <w:t>«Средства массовой информации Тазовского района»</w:t>
      </w:r>
    </w:p>
    <w:p>
      <w:pPr>
        <w:spacing w:after="0" w:line="240" w:lineRule="auto"/>
        <w:jc w:val="center"/>
        <w:rPr>
          <w:rFonts w:ascii="PT Astra Serif" w:hAnsi="PT Astra Serif" w:cs="Times New Roman"/>
          <w:b/>
          <w:sz w:val="28"/>
          <w:szCs w:val="28"/>
        </w:rPr>
      </w:pPr>
    </w:p>
    <w:p>
      <w:pPr>
        <w:spacing w:after="0" w:line="240" w:lineRule="auto"/>
        <w:jc w:val="center"/>
        <w:rPr>
          <w:rFonts w:ascii="PT Astra Serif" w:hAnsi="PT Astra Serif" w:cs="Times New Roman"/>
          <w:b/>
          <w:sz w:val="28"/>
          <w:szCs w:val="28"/>
        </w:rPr>
      </w:pPr>
    </w:p>
    <w:p>
      <w:pPr>
        <w:pStyle w:val="a3"/>
        <w:numPr>
          <w:ilvl w:val="0"/>
          <w:numId w:val="2"/>
        </w:numPr>
        <w:spacing w:after="0" w:line="240" w:lineRule="auto"/>
        <w:ind w:left="0" w:firstLine="0"/>
        <w:jc w:val="center"/>
        <w:rPr>
          <w:rFonts w:ascii="PT Astra Serif" w:hAnsi="PT Astra Serif" w:cs="Times New Roman"/>
          <w:b/>
          <w:sz w:val="28"/>
          <w:szCs w:val="28"/>
          <w:lang w:val="en-US"/>
        </w:rPr>
      </w:pPr>
      <w:r>
        <w:rPr>
          <w:rFonts w:ascii="PT Astra Serif" w:hAnsi="PT Astra Serif" w:cs="Times New Roman"/>
          <w:b/>
          <w:sz w:val="28"/>
          <w:szCs w:val="28"/>
        </w:rPr>
        <w:t>Общие положения</w:t>
      </w:r>
    </w:p>
    <w:p>
      <w:pPr>
        <w:spacing w:after="0" w:line="240" w:lineRule="auto"/>
        <w:ind w:firstLine="851"/>
        <w:jc w:val="center"/>
        <w:rPr>
          <w:rFonts w:ascii="PT Astra Serif" w:hAnsi="PT Astra Serif" w:cs="Times New Roman"/>
          <w:sz w:val="28"/>
          <w:szCs w:val="28"/>
        </w:rPr>
      </w:pPr>
    </w:p>
    <w:p>
      <w:pPr>
        <w:pStyle w:val="a3"/>
        <w:numPr>
          <w:ilvl w:val="1"/>
          <w:numId w:val="1"/>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Порядок по составлению и утверждению плана финансово-хозяйственной деятельности муниципального бюджетного учреждения «Средства массовой информации Тазовского района» (далее – Порядок, учреждение) устанавливает требования к порядку составления и утверждения плана финансово-хозяйственной деятельности МБУ «СМИ Тазовского района» (далее – План), в отношении которого Администрацией Тазовского района принято решение о предоставлении субсидии на финансовое обеспечение выполнения муниципального задания, субсидий из бюджета Тазовского района, в соответствии с пунктом 1 статьи 78.1 Бюджетного кодекса Российской Федерации.</w:t>
      </w:r>
    </w:p>
    <w:p>
      <w:pPr>
        <w:pStyle w:val="a3"/>
        <w:numPr>
          <w:ilvl w:val="1"/>
          <w:numId w:val="1"/>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изменения подведомственности учреждения в течение текущего финансового года План должен быть приведен в соответствие                           с порядком органа-учредителя, который будет осуществлять функции                             и полномочия учредителя после изменения подведомственности учреждения,                    в сроки, установленные органом-учредителем, в ведение которого передано учреждение.</w:t>
      </w:r>
    </w:p>
    <w:p>
      <w:pPr>
        <w:pStyle w:val="a3"/>
        <w:numPr>
          <w:ilvl w:val="1"/>
          <w:numId w:val="1"/>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План должен составляться и утверждаться на текущий финансовый год в случае, если решение о бюджете утверждается на один финансовый год или на текущий финансовый год и плановый период, если решение о бюджете утверждается на очередной финансовый год и плановый период и действует                     в течение срока действия решения о бюджете.</w:t>
      </w:r>
    </w:p>
    <w:p>
      <w:pPr>
        <w:pStyle w:val="a3"/>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принятии учреждением обязательств, срок исполнения которых                    по условиям договоров (контрактов) превышает срок, предусмотренный абзацем первым настоящего пункта, показатели Плана по решению Администрации Тазовского района утверждаются на период, превышающий указанный срок.</w:t>
      </w:r>
    </w:p>
    <w:p>
      <w:pPr>
        <w:pStyle w:val="a3"/>
        <w:numPr>
          <w:ilvl w:val="1"/>
          <w:numId w:val="1"/>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План должен составляться по кассовому методу, в валюте Российской Федерации.</w:t>
      </w:r>
    </w:p>
    <w:p>
      <w:pPr>
        <w:pStyle w:val="a3"/>
        <w:spacing w:after="0" w:line="240" w:lineRule="auto"/>
        <w:ind w:left="0" w:firstLine="709"/>
        <w:jc w:val="both"/>
        <w:rPr>
          <w:rFonts w:ascii="PT Astra Serif" w:hAnsi="PT Astra Serif" w:cs="Times New Roman"/>
          <w:sz w:val="28"/>
          <w:szCs w:val="28"/>
        </w:rPr>
      </w:pPr>
    </w:p>
    <w:p>
      <w:pPr>
        <w:pStyle w:val="a3"/>
        <w:numPr>
          <w:ilvl w:val="0"/>
          <w:numId w:val="2"/>
        </w:numPr>
        <w:spacing w:after="0" w:line="240" w:lineRule="auto"/>
        <w:ind w:left="0" w:firstLine="0"/>
        <w:jc w:val="center"/>
        <w:rPr>
          <w:rFonts w:ascii="PT Astra Serif" w:hAnsi="PT Astra Serif" w:cs="Times New Roman"/>
          <w:b/>
          <w:sz w:val="28"/>
          <w:szCs w:val="28"/>
        </w:rPr>
      </w:pPr>
      <w:r>
        <w:rPr>
          <w:rFonts w:ascii="PT Astra Serif" w:hAnsi="PT Astra Serif" w:cs="Times New Roman"/>
          <w:b/>
          <w:sz w:val="28"/>
          <w:szCs w:val="28"/>
        </w:rPr>
        <w:lastRenderedPageBreak/>
        <w:t>Требование к составлению Плана</w:t>
      </w:r>
    </w:p>
    <w:p>
      <w:pPr>
        <w:spacing w:after="0" w:line="240" w:lineRule="auto"/>
        <w:jc w:val="center"/>
        <w:rPr>
          <w:rFonts w:ascii="PT Astra Serif" w:hAnsi="PT Astra Serif" w:cs="Times New Roman"/>
          <w:b/>
          <w:sz w:val="28"/>
          <w:szCs w:val="28"/>
          <w:lang w:val="en-US"/>
        </w:rPr>
      </w:pPr>
    </w:p>
    <w:p>
      <w:pPr>
        <w:pStyle w:val="a3"/>
        <w:numPr>
          <w:ilvl w:val="1"/>
          <w:numId w:val="5"/>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составлении Плана (внесении изменений в него) устанавливается (уточняется) плановый объем поступлений и выплат денежных средств. План составляется по форме, в соответствии с приложением № 1                         к настоящему Порядку. План должен составляться на основании обоснований (расчетов) плановых показателей поступлений и выплат, требования                               к формированию которых установлены в разделе </w:t>
      </w:r>
      <w:r>
        <w:rPr>
          <w:rFonts w:ascii="PT Astra Serif" w:hAnsi="PT Astra Serif" w:cs="Times New Roman"/>
          <w:sz w:val="28"/>
          <w:szCs w:val="28"/>
          <w:lang w:val="en-US"/>
        </w:rPr>
        <w:t>III</w:t>
      </w:r>
      <w:r>
        <w:rPr>
          <w:rFonts w:ascii="PT Astra Serif" w:hAnsi="PT Astra Serif" w:cs="Times New Roman"/>
          <w:sz w:val="28"/>
          <w:szCs w:val="28"/>
        </w:rPr>
        <w:t xml:space="preserve"> настоящего Порядка.</w:t>
      </w:r>
    </w:p>
    <w:p>
      <w:pPr>
        <w:pStyle w:val="a3"/>
        <w:numPr>
          <w:ilvl w:val="1"/>
          <w:numId w:val="5"/>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Учреждение составляет проект Плана при формировании проекта решения о бюджете в соответствии с требованиями, установленными настоящим Порядком, с учетом: </w:t>
      </w:r>
    </w:p>
    <w:p>
      <w:pPr>
        <w:pStyle w:val="a3"/>
        <w:numPr>
          <w:ilvl w:val="2"/>
          <w:numId w:val="5"/>
        </w:numPr>
        <w:tabs>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планируемых объемов поступлений:</w:t>
      </w:r>
    </w:p>
    <w:p>
      <w:pPr>
        <w:pStyle w:val="a3"/>
        <w:numPr>
          <w:ilvl w:val="0"/>
          <w:numId w:val="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субсидии на финансовое обеспечение выполнения муниципального задания;</w:t>
      </w:r>
    </w:p>
    <w:p>
      <w:pPr>
        <w:pStyle w:val="a3"/>
        <w:numPr>
          <w:ilvl w:val="0"/>
          <w:numId w:val="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субсидий, предоставляемых в соответствии с абзацем вторым пункта 1 статьи 78.1 Бюджетного кодекса Российской Федерации;</w:t>
      </w:r>
    </w:p>
    <w:p>
      <w:pPr>
        <w:pStyle w:val="a3"/>
        <w:numPr>
          <w:ilvl w:val="0"/>
          <w:numId w:val="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субсидий на приобретение объектов недвижимого имущества                          в муниципальную собственность;</w:t>
      </w:r>
    </w:p>
    <w:p>
      <w:pPr>
        <w:pStyle w:val="a3"/>
        <w:numPr>
          <w:ilvl w:val="0"/>
          <w:numId w:val="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иных доходов, которые учреждение планирует получить при оказании работ за плату сверх установленного муниципального задания;</w:t>
      </w:r>
    </w:p>
    <w:p>
      <w:pPr>
        <w:pStyle w:val="a3"/>
        <w:numPr>
          <w:ilvl w:val="0"/>
          <w:numId w:val="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доходов от иной приносящей доход деятельности, предусмотренной уставом учреждения; </w:t>
      </w:r>
    </w:p>
    <w:p>
      <w:pPr>
        <w:pStyle w:val="a3"/>
        <w:numPr>
          <w:ilvl w:val="2"/>
          <w:numId w:val="5"/>
        </w:numPr>
        <w:tabs>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планируемых объемов выплат, связанных с осуществлением деятельности, предусмотренных уставом учреждения.</w:t>
      </w:r>
    </w:p>
    <w:p>
      <w:pPr>
        <w:pStyle w:val="a3"/>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Администрация Тазовского района направляет учреждению информацию о планируемых к предоставлению из бюджета объемах субсидий.</w:t>
      </w:r>
    </w:p>
    <w:p>
      <w:pPr>
        <w:pStyle w:val="a3"/>
        <w:numPr>
          <w:ilvl w:val="1"/>
          <w:numId w:val="5"/>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Сроки составления и утверждения Плана:</w:t>
      </w:r>
    </w:p>
    <w:p>
      <w:pPr>
        <w:pStyle w:val="a3"/>
        <w:numPr>
          <w:ilvl w:val="2"/>
          <w:numId w:val="5"/>
        </w:numPr>
        <w:tabs>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проект Плана составляется в течение пяти рабочих дней                           после принятия решения Думы Тазовского района о бюджете на очередной финансовый год и плановый период;</w:t>
      </w:r>
    </w:p>
    <w:p>
      <w:pPr>
        <w:pStyle w:val="a3"/>
        <w:numPr>
          <w:ilvl w:val="2"/>
          <w:numId w:val="5"/>
        </w:numPr>
        <w:tabs>
          <w:tab w:val="left" w:pos="1560"/>
        </w:tabs>
        <w:spacing w:line="240" w:lineRule="auto"/>
        <w:ind w:left="0" w:firstLine="709"/>
        <w:rPr>
          <w:rFonts w:ascii="PT Astra Serif" w:hAnsi="PT Astra Serif" w:cs="Times New Roman"/>
          <w:sz w:val="28"/>
          <w:szCs w:val="28"/>
        </w:rPr>
      </w:pPr>
      <w:r>
        <w:rPr>
          <w:rFonts w:ascii="PT Astra Serif" w:hAnsi="PT Astra Serif" w:cs="Times New Roman"/>
          <w:sz w:val="28"/>
          <w:szCs w:val="28"/>
        </w:rPr>
        <w:t>утверждение Плана осуществляется в течение десяти рабочих дней после принятия решения Думы Тазовского района о бюджете на очередной финансовый год и плановый период.</w:t>
      </w:r>
    </w:p>
    <w:p>
      <w:pPr>
        <w:pStyle w:val="a3"/>
        <w:numPr>
          <w:ilvl w:val="1"/>
          <w:numId w:val="5"/>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Показатели Плана и обоснования (расчеты) плановых показателей должны формироваться по соответствующим кодам (составным частям кода) бюджетной классификации Российской Федерации в части:</w:t>
      </w:r>
    </w:p>
    <w:p>
      <w:pPr>
        <w:pStyle w:val="a3"/>
        <w:numPr>
          <w:ilvl w:val="2"/>
          <w:numId w:val="5"/>
        </w:numPr>
        <w:spacing w:after="0" w:line="240" w:lineRule="auto"/>
        <w:jc w:val="both"/>
        <w:rPr>
          <w:rFonts w:ascii="PT Astra Serif" w:hAnsi="PT Astra Serif" w:cs="Times New Roman"/>
          <w:sz w:val="28"/>
          <w:szCs w:val="28"/>
        </w:rPr>
      </w:pPr>
      <w:r>
        <w:rPr>
          <w:rFonts w:ascii="PT Astra Serif" w:hAnsi="PT Astra Serif" w:cs="Times New Roman"/>
          <w:sz w:val="28"/>
          <w:szCs w:val="28"/>
        </w:rPr>
        <w:t>планируемых поступлений:</w:t>
      </w:r>
    </w:p>
    <w:p>
      <w:pPr>
        <w:pStyle w:val="a3"/>
        <w:numPr>
          <w:ilvl w:val="0"/>
          <w:numId w:val="7"/>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 доходов – по коду аналитической группы подвида доходов бюджета классификации доходов бюджета;</w:t>
      </w:r>
    </w:p>
    <w:p>
      <w:pPr>
        <w:pStyle w:val="a3"/>
        <w:numPr>
          <w:ilvl w:val="0"/>
          <w:numId w:val="7"/>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 возврата дебиторской задолженности прошлых лет – по коду аналитической группы вида источников финансирования дефицитов бюджета классификации источников финансирования дефицитов бюджета;</w:t>
      </w:r>
    </w:p>
    <w:p>
      <w:pPr>
        <w:pStyle w:val="a3"/>
        <w:numPr>
          <w:ilvl w:val="2"/>
          <w:numId w:val="5"/>
        </w:numPr>
        <w:tabs>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планируемых выплат:</w:t>
      </w:r>
    </w:p>
    <w:p>
      <w:pPr>
        <w:pStyle w:val="a3"/>
        <w:numPr>
          <w:ilvl w:val="0"/>
          <w:numId w:val="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по расходам – по кодам видов расходов классификации расходов бюджета;</w:t>
      </w:r>
    </w:p>
    <w:p>
      <w:pPr>
        <w:pStyle w:val="a3"/>
        <w:numPr>
          <w:ilvl w:val="0"/>
          <w:numId w:val="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возврату в бюджет остатков субсидий прошлых лет – по коду аналитической группы вида источников финансирования дефицитов бюджета классификации источников финансирования дефицитов бюджета;</w:t>
      </w:r>
    </w:p>
    <w:p>
      <w:pPr>
        <w:pStyle w:val="a3"/>
        <w:numPr>
          <w:ilvl w:val="0"/>
          <w:numId w:val="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уплате налогов, объектом налогообложения которых являются доходы (прибыль) учреждения, - по коду аналитической группы подвида доходов бюджета классификации доходов бюджета;</w:t>
      </w:r>
    </w:p>
    <w:p>
      <w:pPr>
        <w:pStyle w:val="a3"/>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решению Администрации Тазовского района показатели Плана формируются с дополнительной детализацией по кодам статей (подстатей) групп (статей) классификации операций сектора государственного управления и (или) кодов иных аналитических показателей.</w:t>
      </w:r>
    </w:p>
    <w:p>
      <w:pPr>
        <w:pStyle w:val="a3"/>
        <w:numPr>
          <w:ilvl w:val="1"/>
          <w:numId w:val="5"/>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Изменение показателей Плана в течение текущего финансового года должно осуществляться в связи с:</w:t>
      </w:r>
    </w:p>
    <w:p>
      <w:pPr>
        <w:pStyle w:val="a3"/>
        <w:numPr>
          <w:ilvl w:val="2"/>
          <w:numId w:val="5"/>
        </w:numPr>
        <w:tabs>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использованием остатков средств на начало текущего финансового года, в том числе неиспользованных остатков целевых субсидий и субсидий                        на осуществление капитальных вложений;</w:t>
      </w:r>
    </w:p>
    <w:p>
      <w:pPr>
        <w:pStyle w:val="a3"/>
        <w:numPr>
          <w:ilvl w:val="2"/>
          <w:numId w:val="5"/>
        </w:numPr>
        <w:tabs>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изменением объемов планируемых поступлений, а также объемов и (или) направленных выплат, в том числе в связи с:</w:t>
      </w:r>
    </w:p>
    <w:p>
      <w:pPr>
        <w:pStyle w:val="a3"/>
        <w:numPr>
          <w:ilvl w:val="0"/>
          <w:numId w:val="1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изменением объема предоставляемых субсидий на финансовое обеспечение муниципального задания, целевых субсидий, субсидий                          на осуществление капитальных вложений, грантов;</w:t>
      </w:r>
    </w:p>
    <w:p>
      <w:pPr>
        <w:pStyle w:val="a3"/>
        <w:numPr>
          <w:ilvl w:val="0"/>
          <w:numId w:val="1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изменением объема работ, предоставляемых за плату;</w:t>
      </w:r>
    </w:p>
    <w:p>
      <w:pPr>
        <w:pStyle w:val="a3"/>
        <w:numPr>
          <w:ilvl w:val="0"/>
          <w:numId w:val="1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изменением объемов безвозмездных поступлений от юридических                     и физических лиц; </w:t>
      </w:r>
    </w:p>
    <w:p>
      <w:pPr>
        <w:pStyle w:val="a3"/>
        <w:numPr>
          <w:ilvl w:val="0"/>
          <w:numId w:val="1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поступлением средств дебиторской задолженности прошлых лет,                     не включенных в показатели Плана при его составлении;</w:t>
      </w:r>
    </w:p>
    <w:p>
      <w:pPr>
        <w:pStyle w:val="a3"/>
        <w:numPr>
          <w:ilvl w:val="0"/>
          <w:numId w:val="1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увеличением выплат по неисполненным обязательствам прошлых лет, не включенных в показатели Плана при  его составлении;</w:t>
      </w:r>
    </w:p>
    <w:p>
      <w:pPr>
        <w:pStyle w:val="a3"/>
        <w:numPr>
          <w:ilvl w:val="2"/>
          <w:numId w:val="5"/>
        </w:numPr>
        <w:tabs>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проведение реорганизации учреждения.</w:t>
      </w:r>
    </w:p>
    <w:p>
      <w:pPr>
        <w:pStyle w:val="a3"/>
        <w:numPr>
          <w:ilvl w:val="1"/>
          <w:numId w:val="5"/>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Показатели Плана после внесения в них изменений, предусматривающих уменьшение выплат, не должны быть меньше кассовых выплат по указанным направлениям, произведенных до внесения изменений                    в показатели Плана.</w:t>
      </w:r>
    </w:p>
    <w:p>
      <w:pPr>
        <w:pStyle w:val="a3"/>
        <w:numPr>
          <w:ilvl w:val="1"/>
          <w:numId w:val="5"/>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Внесение изменений в показатели Плана по поступлениям                               и (или) выплатам должно формироваться путем внесения изменений                               в соответствующие обоснования (расчеты) плановых показателей поступлений и выплат, сформированные при составлении плана, за исключением случаев, предусмотренных пунктом 2.8 Порядка.</w:t>
      </w:r>
    </w:p>
    <w:p>
      <w:pPr>
        <w:pStyle w:val="a3"/>
        <w:numPr>
          <w:ilvl w:val="1"/>
          <w:numId w:val="5"/>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Учреждение по решению Администрации Тазовского района вправе осуществлять внесение изменений в показатели Плана без внесения изменений в соответствующие обоснования (расчеты) плановых показателей поступлений и выплат исходя из информации, содержащейся в документах, являющихся </w:t>
      </w:r>
      <w:r>
        <w:rPr>
          <w:rFonts w:ascii="PT Astra Serif" w:hAnsi="PT Astra Serif" w:cs="Times New Roman"/>
          <w:sz w:val="28"/>
          <w:szCs w:val="28"/>
        </w:rPr>
        <w:lastRenderedPageBreak/>
        <w:t>основанием для поступления денежных средств или осуществления выплат, ранее не включенных в показатели Плана:</w:t>
      </w:r>
    </w:p>
    <w:p>
      <w:pPr>
        <w:pStyle w:val="a3"/>
        <w:numPr>
          <w:ilvl w:val="2"/>
          <w:numId w:val="5"/>
        </w:numPr>
        <w:tabs>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поступлении в текущем финансовом году:</w:t>
      </w:r>
    </w:p>
    <w:p>
      <w:pPr>
        <w:pStyle w:val="a3"/>
        <w:numPr>
          <w:ilvl w:val="0"/>
          <w:numId w:val="1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сумм возврата дебиторской задолженности прошлых лет;</w:t>
      </w:r>
    </w:p>
    <w:p>
      <w:pPr>
        <w:pStyle w:val="a3"/>
        <w:numPr>
          <w:ilvl w:val="0"/>
          <w:numId w:val="1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сумм, поступивших в возмещение ущерба, недостач, выявленных                     в текущем финансовом году;</w:t>
      </w:r>
    </w:p>
    <w:p>
      <w:pPr>
        <w:pStyle w:val="a3"/>
        <w:numPr>
          <w:ilvl w:val="0"/>
          <w:numId w:val="1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сумм, поступивших по решению суда или на основании исполнительных документов;</w:t>
      </w:r>
    </w:p>
    <w:p>
      <w:pPr>
        <w:pStyle w:val="a3"/>
        <w:numPr>
          <w:ilvl w:val="2"/>
          <w:numId w:val="5"/>
        </w:numPr>
        <w:tabs>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необходимости осуществления выплат:</w:t>
      </w:r>
    </w:p>
    <w:p>
      <w:pPr>
        <w:pStyle w:val="a3"/>
        <w:numPr>
          <w:ilvl w:val="0"/>
          <w:numId w:val="1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возврату в бюджет бюджетной системы Российской Федерации субсидий, полученных в прошлых отчетных периодах;</w:t>
      </w:r>
    </w:p>
    <w:p>
      <w:pPr>
        <w:pStyle w:val="a3"/>
        <w:numPr>
          <w:ilvl w:val="0"/>
          <w:numId w:val="1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возмещению ущерба;</w:t>
      </w:r>
    </w:p>
    <w:p>
      <w:pPr>
        <w:pStyle w:val="a3"/>
        <w:numPr>
          <w:ilvl w:val="0"/>
          <w:numId w:val="1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решению суда, на основании исполнительных документов;</w:t>
      </w:r>
    </w:p>
    <w:p>
      <w:pPr>
        <w:pStyle w:val="a3"/>
        <w:numPr>
          <w:ilvl w:val="0"/>
          <w:numId w:val="1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уплате штрафов, в том числе административных.</w:t>
      </w:r>
    </w:p>
    <w:p>
      <w:pPr>
        <w:pStyle w:val="a3"/>
        <w:numPr>
          <w:ilvl w:val="1"/>
          <w:numId w:val="5"/>
        </w:numPr>
        <w:tabs>
          <w:tab w:val="left" w:pos="1418"/>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внесении изменений в показатели Плана в случае, установленном подпунктом 2.5.3 пункта 2 Порядка, при реорганизации:</w:t>
      </w:r>
    </w:p>
    <w:p>
      <w:pPr>
        <w:pStyle w:val="a3"/>
        <w:numPr>
          <w:ilvl w:val="0"/>
          <w:numId w:val="15"/>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форме присоединения, слияния – показатели Плана учреждения – правопреемника формируются с учетом показателей Планов реорганизуемых учреждений, прекращающих свою деятельность путем построчного объединения (суммирования) показателей поступлений и выплат;</w:t>
      </w:r>
    </w:p>
    <w:p>
      <w:pPr>
        <w:pStyle w:val="a3"/>
        <w:numPr>
          <w:ilvl w:val="0"/>
          <w:numId w:val="15"/>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форме выделения – показатели Плана учреждения, реорганизованного путем выделения из него других учреждений, подлежат уменьшению на показатели поступлений и выплат Планов вновь возникших юридических лиц;</w:t>
      </w:r>
    </w:p>
    <w:p>
      <w:pPr>
        <w:pStyle w:val="a3"/>
        <w:numPr>
          <w:ilvl w:val="0"/>
          <w:numId w:val="15"/>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форме разделения –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 прекращающего свою деятельность.</w:t>
      </w:r>
    </w:p>
    <w:p>
      <w:pPr>
        <w:pStyle w:val="a3"/>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Плана(ов) учреждения(ий) до начала реорганизации.</w:t>
      </w:r>
    </w:p>
    <w:p>
      <w:pPr>
        <w:pStyle w:val="a3"/>
        <w:spacing w:after="0" w:line="240" w:lineRule="auto"/>
        <w:ind w:left="0"/>
        <w:jc w:val="center"/>
        <w:rPr>
          <w:rFonts w:ascii="PT Astra Serif" w:hAnsi="PT Astra Serif" w:cs="Times New Roman"/>
          <w:sz w:val="28"/>
          <w:szCs w:val="28"/>
        </w:rPr>
      </w:pPr>
    </w:p>
    <w:p>
      <w:pPr>
        <w:pStyle w:val="a3"/>
        <w:numPr>
          <w:ilvl w:val="0"/>
          <w:numId w:val="2"/>
        </w:numPr>
        <w:spacing w:after="0" w:line="240" w:lineRule="auto"/>
        <w:ind w:left="0" w:firstLine="0"/>
        <w:jc w:val="center"/>
        <w:rPr>
          <w:rFonts w:ascii="PT Astra Serif" w:hAnsi="PT Astra Serif" w:cs="Times New Roman"/>
          <w:b/>
          <w:sz w:val="28"/>
          <w:szCs w:val="28"/>
        </w:rPr>
      </w:pPr>
      <w:r>
        <w:rPr>
          <w:rFonts w:ascii="PT Astra Serif" w:hAnsi="PT Astra Serif" w:cs="Times New Roman"/>
          <w:b/>
          <w:sz w:val="28"/>
          <w:szCs w:val="28"/>
        </w:rPr>
        <w:t>Формирование обоснований (расчетов) плановых                              показателей поступлений и выплат</w:t>
      </w:r>
    </w:p>
    <w:p>
      <w:pPr>
        <w:pStyle w:val="a3"/>
        <w:spacing w:after="0" w:line="240" w:lineRule="auto"/>
        <w:ind w:left="0"/>
        <w:jc w:val="center"/>
        <w:rPr>
          <w:rFonts w:ascii="PT Astra Serif" w:hAnsi="PT Astra Serif" w:cs="Times New Roman"/>
          <w:b/>
          <w:sz w:val="28"/>
          <w:szCs w:val="28"/>
        </w:rPr>
      </w:pPr>
    </w:p>
    <w:p>
      <w:pPr>
        <w:pStyle w:val="a3"/>
        <w:numPr>
          <w:ilvl w:val="1"/>
          <w:numId w:val="16"/>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Обоснования (расчеты) плановых показателей поступлений формируется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(авансов) по договорам (контрактам, соглашениям).</w:t>
      </w:r>
    </w:p>
    <w:p>
      <w:pPr>
        <w:pStyle w:val="a3"/>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Обоснования (расчеты) плановых показателей выплат формируются                     на основании расчетов соответствующих расходов, с учетом произведенных                         на начало финансового года предварительных платежей (авансов) по договорам </w:t>
      </w:r>
      <w:r>
        <w:rPr>
          <w:rFonts w:ascii="PT Astra Serif" w:hAnsi="PT Astra Serif" w:cs="Times New Roman"/>
          <w:sz w:val="28"/>
          <w:szCs w:val="28"/>
        </w:rPr>
        <w:lastRenderedPageBreak/>
        <w:t>(контрактам, соглашениям), сумм излишне уплаченных или излишне взысканных налогов, пени, штрафов, а также принятых и неисполненных                     на начало финансового года обязательств.</w:t>
      </w:r>
    </w:p>
    <w:p>
      <w:pPr>
        <w:pStyle w:val="a3"/>
        <w:numPr>
          <w:ilvl w:val="1"/>
          <w:numId w:val="16"/>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Расчеты доходов формируются:</w:t>
      </w:r>
    </w:p>
    <w:p>
      <w:pPr>
        <w:pStyle w:val="a3"/>
        <w:numPr>
          <w:ilvl w:val="0"/>
          <w:numId w:val="17"/>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 доходам от использования собственности (в том числе доходы                    в виде арендной платы, платы за сервитут, от распоряжения правами                            на результаты интеллектуальной деятельности и средствами </w:t>
      </w:r>
      <w:r>
        <w:rPr>
          <w:rFonts w:ascii="PT Astra Serif" w:hAnsi="PT Astra Serif" w:cs="Times New Roman"/>
          <w:spacing w:val="-20"/>
          <w:sz w:val="28"/>
          <w:szCs w:val="28"/>
        </w:rPr>
        <w:t>и</w:t>
      </w:r>
      <w:r>
        <w:rPr>
          <w:rFonts w:ascii="PT Astra Serif" w:hAnsi="PT Astra Serif" w:cs="Times New Roman"/>
          <w:sz w:val="28"/>
          <w:szCs w:val="28"/>
        </w:rPr>
        <w:t>нди</w:t>
      </w:r>
      <w:r>
        <w:rPr>
          <w:rFonts w:ascii="PT Astra Serif" w:hAnsi="PT Astra Serif" w:cs="Times New Roman"/>
          <w:spacing w:val="-20"/>
          <w:sz w:val="28"/>
          <w:szCs w:val="28"/>
        </w:rPr>
        <w:t>вид</w:t>
      </w:r>
      <w:r>
        <w:rPr>
          <w:rFonts w:ascii="PT Astra Serif" w:hAnsi="PT Astra Serif" w:cs="Times New Roman"/>
          <w:sz w:val="28"/>
          <w:szCs w:val="28"/>
        </w:rPr>
        <w:t>уали</w:t>
      </w:r>
      <w:r>
        <w:rPr>
          <w:rFonts w:ascii="PT Astra Serif" w:hAnsi="PT Astra Serif" w:cs="Times New Roman"/>
          <w:spacing w:val="-20"/>
          <w:sz w:val="28"/>
          <w:szCs w:val="28"/>
        </w:rPr>
        <w:t>зации);</w:t>
      </w:r>
    </w:p>
    <w:p>
      <w:pPr>
        <w:pStyle w:val="a3"/>
        <w:numPr>
          <w:ilvl w:val="0"/>
          <w:numId w:val="17"/>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доходам от выполнения работ (в том числе в виде субсидии                         на финансовое обеспечение выполнения муниципального задания);</w:t>
      </w:r>
    </w:p>
    <w:p>
      <w:pPr>
        <w:pStyle w:val="a3"/>
        <w:numPr>
          <w:ilvl w:val="0"/>
          <w:numId w:val="17"/>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доходам в виде штрафов, возмещения ущерба (в том числе включая штрафы, пени и неустойки за нарушение условий контрактов (договоров);</w:t>
      </w:r>
    </w:p>
    <w:p>
      <w:pPr>
        <w:pStyle w:val="a3"/>
        <w:numPr>
          <w:ilvl w:val="0"/>
          <w:numId w:val="17"/>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доходам в виде безвозмездных денежных поступлений (в том числе грантов, пожертвований);</w:t>
      </w:r>
    </w:p>
    <w:p>
      <w:pPr>
        <w:pStyle w:val="a3"/>
        <w:numPr>
          <w:ilvl w:val="0"/>
          <w:numId w:val="17"/>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доходам в виде целевых субсидий, а также субсидий                                    на осуществление капитальных вложений;</w:t>
      </w:r>
    </w:p>
    <w:p>
      <w:pPr>
        <w:pStyle w:val="a3"/>
        <w:numPr>
          <w:ilvl w:val="0"/>
          <w:numId w:val="17"/>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доходам от операций с активами (в том числе доходы                                  от реализации неиспользуемого имущества, утиля, невозвратной тары и др.).</w:t>
      </w:r>
    </w:p>
    <w:p>
      <w:pPr>
        <w:pStyle w:val="a3"/>
        <w:numPr>
          <w:ilvl w:val="1"/>
          <w:numId w:val="16"/>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доходов от использования собственности осуществляется                   на основании информации о плате (тарифе, ставке) за использование имущества за единицу (объект, квадратный метр площади) и количества единиц предоставляемого в пользование имущества.</w:t>
      </w:r>
    </w:p>
    <w:p>
      <w:pPr>
        <w:pStyle w:val="a3"/>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доходов в виде возмещения расходов, понесенных в связи                             с эксплуатацией муниципального имущества, закрепленного на праве оперативного управления, осуществляется исходя из объема предоставленного в пользование имущества.</w:t>
      </w:r>
    </w:p>
    <w:p>
      <w:pPr>
        <w:pStyle w:val="a3"/>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доходов от распоряжения правами на результаты интеллектуальной деятельности и средства индивидуализации, в том числе                    по лицензионным договорам, осуществляется исходя из планируемого объема предоставления прав на использование объектов и платы за использование одного объекта.</w:t>
      </w:r>
    </w:p>
    <w:p>
      <w:pPr>
        <w:pStyle w:val="a3"/>
        <w:numPr>
          <w:ilvl w:val="1"/>
          <w:numId w:val="16"/>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доходов от выполненных работ сверх установленного муниципального задания осуществляется исходя из планируемого объема оказания платных работ и планируемой стоимости.</w:t>
      </w:r>
    </w:p>
    <w:p>
      <w:pPr>
        <w:pStyle w:val="a3"/>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доходов от выполнения работ в рамках установленного муниципального задания в случаях, установленных федеральным законом, осуществляется в соответствии с объемом работ, установленных муниципальным заданием, и платой (ценой, тарифом) за указанную работу.</w:t>
      </w:r>
    </w:p>
    <w:p>
      <w:pPr>
        <w:pStyle w:val="a3"/>
        <w:numPr>
          <w:ilvl w:val="1"/>
          <w:numId w:val="16"/>
        </w:numPr>
        <w:tabs>
          <w:tab w:val="left" w:pos="1276"/>
          <w:tab w:val="left" w:pos="1418"/>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доходов в виде штрафов,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выплате страхового возмещения при наступлении страхового случая осуществляется в размере, определенном указанными решениями.</w:t>
      </w:r>
    </w:p>
    <w:p>
      <w:pPr>
        <w:pStyle w:val="a3"/>
        <w:numPr>
          <w:ilvl w:val="1"/>
          <w:numId w:val="16"/>
        </w:numPr>
        <w:tabs>
          <w:tab w:val="left" w:pos="1276"/>
          <w:tab w:val="left" w:pos="1418"/>
        </w:tabs>
        <w:spacing w:after="0" w:line="240" w:lineRule="auto"/>
        <w:ind w:left="-142" w:firstLine="851"/>
        <w:jc w:val="both"/>
        <w:rPr>
          <w:rFonts w:ascii="PT Astra Serif" w:hAnsi="PT Astra Serif" w:cs="Times New Roman"/>
          <w:sz w:val="28"/>
          <w:szCs w:val="28"/>
        </w:rPr>
      </w:pPr>
      <w:r>
        <w:rPr>
          <w:rFonts w:ascii="PT Astra Serif" w:hAnsi="PT Astra Serif" w:cs="Times New Roman"/>
          <w:sz w:val="28"/>
          <w:szCs w:val="28"/>
        </w:rPr>
        <w:lastRenderedPageBreak/>
        <w:t>Расчет доходов от иной приносящей доход деятельности осуществляется с учетом стоимости услуг по одному договору, среднего количества указанных поступлений за последние три года и их размера,                                  а также иных прогнозных показателей в зависимости от их вида, установленных Администрацией Тазовского района.</w:t>
      </w:r>
    </w:p>
    <w:p>
      <w:pPr>
        <w:pStyle w:val="a3"/>
        <w:numPr>
          <w:ilvl w:val="1"/>
          <w:numId w:val="16"/>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расходов осуществляется по видам расходов с учетом норм трудовых, материальных, технических ресурсов, используемых для оказания учреждением выполненных работ, а также требований, установленных нормативными правовыми актами, в том числе ГОСТами, СНиПами, стандартами, порядками и регламентами (паспортами) оказания муниципальных работ.</w:t>
      </w:r>
    </w:p>
    <w:p>
      <w:pPr>
        <w:pStyle w:val="a3"/>
        <w:numPr>
          <w:ilvl w:val="1"/>
          <w:numId w:val="16"/>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обязательное медицинское страхование.</w:t>
      </w:r>
    </w:p>
    <w:p>
      <w:pPr>
        <w:pStyle w:val="a3"/>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расчете плановых показателей расходов на оплату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 Российской Федерации, локальными нормативными актами учреждения в соответствии                         с утвержденным штатным расписанием.</w:t>
      </w:r>
    </w:p>
    <w:p>
      <w:pPr>
        <w:pStyle w:val="a3"/>
        <w:numPr>
          <w:ilvl w:val="1"/>
          <w:numId w:val="16"/>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расходов на выплаты компенсационного характера персоналу, за исключением фонда оплаты труда, включает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местностям, и членов их семей,                        иные компенсационные выплаты работникам, предусмотренные законодательством Российской Федерации, коллективным трудовым договором, локальными актами учреждения.</w:t>
      </w:r>
    </w:p>
    <w:p>
      <w:pPr>
        <w:pStyle w:val="a3"/>
        <w:numPr>
          <w:ilvl w:val="1"/>
          <w:numId w:val="16"/>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Расчет расходов на выплаты по социальному обеспечению                             и иным выплатам населению, не связанным с выплатами работникам, возникающими в рамках трудовых отношений (расходов по социальному обеспечению населения вне рамок систем государственного пенсионного, </w:t>
      </w:r>
      <w:r>
        <w:rPr>
          <w:rFonts w:ascii="PT Astra Serif" w:hAnsi="PT Astra Serif" w:cs="Times New Roman"/>
          <w:sz w:val="28"/>
          <w:szCs w:val="28"/>
        </w:rPr>
        <w:lastRenderedPageBreak/>
        <w:t>социального, медицинского страхования), в том числе на оплату медицинского обслуживания, оплату путевок на санаторно-курортное лечение и в детские оздоровительные лагеря, а также выплат бывшим работникам учреждений,                        в том числе к памятным датам, профессиональным праздникам, осуществляется с учетом количества планируемых выплат в год и их размера.</w:t>
      </w:r>
    </w:p>
    <w:p>
      <w:pPr>
        <w:pStyle w:val="a3"/>
        <w:numPr>
          <w:ilvl w:val="1"/>
          <w:numId w:val="16"/>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расходов на уплату налога на имущество организации, земельного налога, транспортного налога формируется с учетом объекта налогообложения, особенностей определения налоговой базы, налоговой ставки, а также налоговых льгот, оснований и порядка их применения, порядка и сроков уплаты по каждому налогу в соответствии с законодательством Российской Федерации о налогах и сборах.</w:t>
      </w:r>
    </w:p>
    <w:p>
      <w:pPr>
        <w:pStyle w:val="a3"/>
        <w:numPr>
          <w:ilvl w:val="1"/>
          <w:numId w:val="16"/>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соответствующего бюджета, осуществляется с учетом вида платежа, порядка их расчета, порядка и сроков уплаты                                 по каждому виду платежа.</w:t>
      </w:r>
    </w:p>
    <w:p>
      <w:pPr>
        <w:pStyle w:val="a3"/>
        <w:numPr>
          <w:ilvl w:val="1"/>
          <w:numId w:val="16"/>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прочих расходов (кроме расходов на закупку товаров, работ, услуг) осуществляется по видам выплат с учетом количества планируемых выплат в год и их размера.</w:t>
      </w:r>
    </w:p>
    <w:p>
      <w:pPr>
        <w:pStyle w:val="a3"/>
        <w:numPr>
          <w:ilvl w:val="1"/>
          <w:numId w:val="16"/>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Расчеты расходов (за исключением расходов на закупку товаров, работ, услуг) осуществляется раздельно по источникам их финансового обеспечения.</w:t>
      </w:r>
    </w:p>
    <w:p>
      <w:pPr>
        <w:pStyle w:val="a3"/>
        <w:numPr>
          <w:ilvl w:val="1"/>
          <w:numId w:val="16"/>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расходов на услуги связи должен учитывать количество абонентских номеров, подключенных к сети, цены услуг связи, ежемесячную абонентскую плату в расчете на один абонентский номер, количество месяцев предоставления услуг;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оплата интернет-трафика и спутникового сегмента.</w:t>
      </w:r>
    </w:p>
    <w:p>
      <w:pPr>
        <w:pStyle w:val="a3"/>
        <w:numPr>
          <w:ilvl w:val="1"/>
          <w:numId w:val="16"/>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pPr>
        <w:pStyle w:val="a3"/>
        <w:numPr>
          <w:ilvl w:val="1"/>
          <w:numId w:val="16"/>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расходов на коммунальные услуги осуществляется исходя                                из расходов на электроснабжение, теплоснабжение, холодное водоснабжение, водоотведение, откачка и вывоз жидких бытовых отходов, вывоз и утилизация твердых коммунальных отходов с учетом количества объектов, тарифов                           на оказание коммунальных услуг (в том числе с учетом применяемого одноставочного, дифференцированного по зонам суток или двуставочного тарифа на электроэнергию), расчетной потребности планового потребления услуг и затраты на транспортировку топлива (при наличии).</w:t>
      </w:r>
    </w:p>
    <w:p>
      <w:pPr>
        <w:pStyle w:val="a3"/>
        <w:numPr>
          <w:ilvl w:val="1"/>
          <w:numId w:val="16"/>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
    <w:p>
      <w:pPr>
        <w:pStyle w:val="a3"/>
        <w:numPr>
          <w:ilvl w:val="1"/>
          <w:numId w:val="16"/>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регламентно-профилактических работ по ремонту оборудования, требований к санитарно-гигиеническому обслуживанию, охране труда (включая уборку помещений                     и территории, мойку, химическую чистку, дезинфекцию, дезинсекцию),                          а также правил его эксплуатации.</w:t>
      </w:r>
    </w:p>
    <w:p>
      <w:pPr>
        <w:pStyle w:val="a3"/>
        <w:numPr>
          <w:ilvl w:val="1"/>
          <w:numId w:val="16"/>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осуществляется с учетом количества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
    <w:p>
      <w:pPr>
        <w:pStyle w:val="a3"/>
        <w:numPr>
          <w:ilvl w:val="1"/>
          <w:numId w:val="16"/>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расходов на повышение квалификации (профессиональную переподготовку) осуществляется с учетом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pPr>
        <w:pStyle w:val="a3"/>
        <w:numPr>
          <w:ilvl w:val="1"/>
          <w:numId w:val="16"/>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расходов на оплату услуг и работ (медицинских осмотров, информационных услуг, консультационных услуг, экспертных услуг, научно-исследовательских работ и т.д.), не указанных в пунктах 3.14 - 3.20 Порядка, осуществляется на основании расчетов необходимых выплат с учетом численности работников, потребности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предусмотренных уставом учреждения.</w:t>
      </w:r>
    </w:p>
    <w:p>
      <w:pPr>
        <w:pStyle w:val="a3"/>
        <w:numPr>
          <w:ilvl w:val="1"/>
          <w:numId w:val="16"/>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расходов на приобретение объектов движимого имущества (в том числе оборудования, транспортных средств, мебели, инвентаря,                           бытовых приборов) осуществляется с учетом среднего срока эксплуатации указанного имущества, норм обеспеченности (при их наличии), потребности 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идентичных (однородных) товаров, работ, услуг, в том числе о ценах производителей (изготовителей) указанных товаров, работ, услуг.</w:t>
      </w:r>
    </w:p>
    <w:p>
      <w:pPr>
        <w:pStyle w:val="a3"/>
        <w:numPr>
          <w:ilvl w:val="1"/>
          <w:numId w:val="16"/>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Расчет расходов на приобретение материальных запасов осуществляется с учетом потребности в горюче-смазочных и строительных материалах, мягкого инвентаря и специальной одежде, обуви, запасных частях к оборудованию и транспортным средствам, хозяйственных товарах                                       </w:t>
      </w:r>
      <w:r>
        <w:rPr>
          <w:rFonts w:ascii="PT Astra Serif" w:hAnsi="PT Astra Serif" w:cs="Times New Roman"/>
          <w:sz w:val="28"/>
          <w:szCs w:val="28"/>
        </w:rPr>
        <w:lastRenderedPageBreak/>
        <w:t>и канцелярских принадлежностях, а также наличия указанного имущества                          в запасе и (или) необходимости формирования экстренного (аварийного) запаса.</w:t>
      </w:r>
    </w:p>
    <w:p>
      <w:pPr>
        <w:pStyle w:val="a3"/>
        <w:numPr>
          <w:ilvl w:val="1"/>
          <w:numId w:val="16"/>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Расчеты расходов на закупку товаров, работ, услуг должны соответствовать в части планируемых к заключению контрактов (договоров):</w:t>
      </w:r>
    </w:p>
    <w:p>
      <w:pPr>
        <w:pStyle w:val="a3"/>
        <w:numPr>
          <w:ilvl w:val="0"/>
          <w:numId w:val="1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показателям плана-графика закупок товаров, работ, услуг                                для обеспечения государственных и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для обеспечения государственных и муниципальных нужд, в случае осуществления закупок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pPr>
        <w:pStyle w:val="a3"/>
        <w:numPr>
          <w:ilvl w:val="0"/>
          <w:numId w:val="1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показателям плана закупок товаров, работ, услуг формируемого                        в соответствии с требованиями законодательства Российской Федерации                       о закупках товаров, работ, услуг отдельными видами юридических лиц,                          в отношении закупок, подлежащих включению в указанный план закупок                        в соответствии с Федеральным законом от 18 июля 2011 года № 223-ФЗ                          «О закупках товаров, работ, услуг отдельными видами юридических лиц».</w:t>
      </w:r>
    </w:p>
    <w:p>
      <w:pPr>
        <w:pStyle w:val="a3"/>
        <w:numPr>
          <w:ilvl w:val="1"/>
          <w:numId w:val="16"/>
        </w:numPr>
        <w:tabs>
          <w:tab w:val="left" w:pos="1418"/>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 расходов на осуществление капитальных вложений в целях приобретения объектов недвижимого имущества осуществляется с учетом стоимости приобретения объектов недвижимости имущества, определяемой                       в соответствии с законодательством Российской Федерации регулирующих оценочную деятельность в Российской Федерации.</w:t>
      </w:r>
    </w:p>
    <w:p>
      <w:pPr>
        <w:pStyle w:val="a3"/>
        <w:numPr>
          <w:ilvl w:val="1"/>
          <w:numId w:val="16"/>
        </w:numPr>
        <w:tabs>
          <w:tab w:val="left" w:pos="1418"/>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Расчеты расходов, связанных с выполнением учреждением муниципального задания, могут осуществляться с превышением нормативных затрат, определенных в порядке, установленном Администрацией Тазовского района, в соответствии с абзацем первым пункта 4 статьи 69.2 Бюджетного кодекса Российской Федерации, в пределах общего объема средств субсидии                    на финансовое обеспечение выполнения муниципального задания.</w:t>
      </w:r>
    </w:p>
    <w:p>
      <w:pPr>
        <w:pStyle w:val="a3"/>
        <w:numPr>
          <w:ilvl w:val="1"/>
          <w:numId w:val="16"/>
        </w:numPr>
        <w:tabs>
          <w:tab w:val="left" w:pos="1418"/>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если учреждением не планируется получать отдельные доходы и осуществлять отдельные расходы, то обоснования (расчеты) поступлений и выплат по указанным доходам и расходам не формируются. </w:t>
      </w:r>
    </w:p>
    <w:p>
      <w:pPr>
        <w:pStyle w:val="a3"/>
        <w:numPr>
          <w:ilvl w:val="1"/>
          <w:numId w:val="16"/>
        </w:numPr>
        <w:tabs>
          <w:tab w:val="left" w:pos="1418"/>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Расчеты (обоснования) к плану финансово-хозяйственной деятельности составляются по форме, в соответствии с приложением № 2.</w:t>
      </w:r>
    </w:p>
    <w:p>
      <w:pPr>
        <w:pStyle w:val="a3"/>
        <w:spacing w:after="0" w:line="240" w:lineRule="auto"/>
        <w:ind w:left="0"/>
        <w:jc w:val="center"/>
        <w:rPr>
          <w:rFonts w:ascii="PT Astra Serif" w:hAnsi="PT Astra Serif" w:cs="Times New Roman"/>
          <w:szCs w:val="28"/>
        </w:rPr>
      </w:pPr>
    </w:p>
    <w:p>
      <w:pPr>
        <w:pStyle w:val="a3"/>
        <w:numPr>
          <w:ilvl w:val="0"/>
          <w:numId w:val="2"/>
        </w:numPr>
        <w:spacing w:after="0" w:line="240" w:lineRule="auto"/>
        <w:ind w:left="0" w:firstLine="0"/>
        <w:jc w:val="center"/>
        <w:rPr>
          <w:rFonts w:ascii="PT Astra Serif" w:hAnsi="PT Astra Serif" w:cs="Times New Roman"/>
          <w:b/>
          <w:sz w:val="28"/>
          <w:szCs w:val="28"/>
        </w:rPr>
      </w:pPr>
      <w:r>
        <w:rPr>
          <w:rFonts w:ascii="PT Astra Serif" w:hAnsi="PT Astra Serif" w:cs="Times New Roman"/>
          <w:b/>
          <w:sz w:val="28"/>
          <w:szCs w:val="28"/>
        </w:rPr>
        <w:t>Требования к утверждению Плана</w:t>
      </w:r>
    </w:p>
    <w:p>
      <w:pPr>
        <w:pStyle w:val="a3"/>
        <w:spacing w:after="0" w:line="240" w:lineRule="auto"/>
        <w:ind w:left="0"/>
        <w:jc w:val="center"/>
        <w:rPr>
          <w:rFonts w:ascii="PT Astra Serif" w:hAnsi="PT Astra Serif" w:cs="Times New Roman"/>
          <w:b/>
          <w:sz w:val="24"/>
          <w:szCs w:val="28"/>
        </w:rPr>
      </w:pPr>
    </w:p>
    <w:p>
      <w:pPr>
        <w:pStyle w:val="a3"/>
        <w:numPr>
          <w:ilvl w:val="1"/>
          <w:numId w:val="2"/>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План (План с учетом изменений) утверждается руководителем учреждения.</w:t>
      </w:r>
    </w:p>
    <w:p>
      <w:pPr>
        <w:pStyle w:val="a3"/>
        <w:numPr>
          <w:ilvl w:val="1"/>
          <w:numId w:val="2"/>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План составляется и утверждается в сроки, установленные пунктом 2.3 настоящего Порядка.</w:t>
      </w:r>
    </w:p>
    <w:p>
      <w:pPr>
        <w:pStyle w:val="a3"/>
        <w:numPr>
          <w:ilvl w:val="1"/>
          <w:numId w:val="2"/>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Изменения в План вносятся путем составления Плана с учетом изменений в пятидневный срок с момента, когда стало известно                                       об обстоятельствах, перечисленных в пункте 2.5 настоящего Порядка.</w:t>
      </w:r>
    </w:p>
    <w:sectPr>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2615314"/>
      <w:docPartObj>
        <w:docPartGallery w:val="Page Numbers (Top of Page)"/>
        <w:docPartUnique/>
      </w:docPartObj>
    </w:sdtPr>
    <w:sdtEndPr>
      <w:rPr>
        <w:rFonts w:ascii="PT Astra Serif" w:hAnsi="PT Astra Serif"/>
        <w:sz w:val="24"/>
      </w:rPr>
    </w:sdtEndPr>
    <w:sdtContent>
      <w:p>
        <w:pPr>
          <w:pStyle w:val="a4"/>
          <w:jc w:val="center"/>
          <w:rPr>
            <w:rFonts w:ascii="PT Astra Serif" w:hAnsi="PT Astra Serif"/>
            <w:sz w:val="24"/>
          </w:rPr>
        </w:pPr>
        <w:r>
          <w:rPr>
            <w:rFonts w:ascii="PT Astra Serif" w:hAnsi="PT Astra Serif"/>
            <w:sz w:val="24"/>
          </w:rPr>
          <w:fldChar w:fldCharType="begin"/>
        </w:r>
        <w:r>
          <w:rPr>
            <w:rFonts w:ascii="PT Astra Serif" w:hAnsi="PT Astra Serif"/>
            <w:sz w:val="24"/>
          </w:rPr>
          <w:instrText>PAGE   \* MERGEFORMAT</w:instrText>
        </w:r>
        <w:r>
          <w:rPr>
            <w:rFonts w:ascii="PT Astra Serif" w:hAnsi="PT Astra Serif"/>
            <w:sz w:val="24"/>
          </w:rPr>
          <w:fldChar w:fldCharType="separate"/>
        </w:r>
        <w:r>
          <w:rPr>
            <w:rFonts w:ascii="PT Astra Serif" w:hAnsi="PT Astra Serif"/>
            <w:noProof/>
            <w:sz w:val="24"/>
          </w:rPr>
          <w:t>2</w:t>
        </w:r>
        <w:r>
          <w:rPr>
            <w:rFonts w:ascii="PT Astra Serif" w:hAnsi="PT Astra Serif"/>
            <w:sz w:val="24"/>
          </w:rPr>
          <w:fldChar w:fldCharType="end"/>
        </w:r>
      </w:p>
    </w:sdtContent>
  </w:sdt>
  <w:p>
    <w:pPr>
      <w:pStyle w:val="a4"/>
      <w:rPr>
        <w:rFonts w:ascii="PT Astra Serif" w:hAnsi="PT Astra Serif"/>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D01AB"/>
    <w:multiLevelType w:val="multilevel"/>
    <w:tmpl w:val="C198743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A6D15CF"/>
    <w:multiLevelType w:val="multilevel"/>
    <w:tmpl w:val="221C0E1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6270A4C"/>
    <w:multiLevelType w:val="multilevel"/>
    <w:tmpl w:val="C198743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2AF4822"/>
    <w:multiLevelType w:val="hybridMultilevel"/>
    <w:tmpl w:val="20DAA5F4"/>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8A20698"/>
    <w:multiLevelType w:val="hybridMultilevel"/>
    <w:tmpl w:val="5800922E"/>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B592BF8"/>
    <w:multiLevelType w:val="multilevel"/>
    <w:tmpl w:val="221C0E1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EA77E58"/>
    <w:multiLevelType w:val="hybridMultilevel"/>
    <w:tmpl w:val="98C64DD2"/>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0642F11"/>
    <w:multiLevelType w:val="hybridMultilevel"/>
    <w:tmpl w:val="A91C1F0A"/>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8EF6AAD"/>
    <w:multiLevelType w:val="hybridMultilevel"/>
    <w:tmpl w:val="721E76CA"/>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CD16CE7"/>
    <w:multiLevelType w:val="hybridMultilevel"/>
    <w:tmpl w:val="5024D410"/>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F1F4FF1"/>
    <w:multiLevelType w:val="multilevel"/>
    <w:tmpl w:val="221C0E1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43B12887"/>
    <w:multiLevelType w:val="hybridMultilevel"/>
    <w:tmpl w:val="53985990"/>
    <w:lvl w:ilvl="0" w:tplc="933625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224EF2"/>
    <w:multiLevelType w:val="multilevel"/>
    <w:tmpl w:val="C198743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53C45D54"/>
    <w:multiLevelType w:val="hybridMultilevel"/>
    <w:tmpl w:val="3A22B51E"/>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6687567"/>
    <w:multiLevelType w:val="hybridMultilevel"/>
    <w:tmpl w:val="8B36FA2C"/>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78054E5"/>
    <w:multiLevelType w:val="hybridMultilevel"/>
    <w:tmpl w:val="58703D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AEA6560"/>
    <w:multiLevelType w:val="hybridMultilevel"/>
    <w:tmpl w:val="E6D41612"/>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4570FFB"/>
    <w:multiLevelType w:val="hybridMultilevel"/>
    <w:tmpl w:val="A44C6A34"/>
    <w:lvl w:ilvl="0" w:tplc="04190013">
      <w:start w:val="1"/>
      <w:numFmt w:val="upperRoman"/>
      <w:lvlText w:val="%1."/>
      <w:lvlJc w:val="righ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79DC32E5"/>
    <w:multiLevelType w:val="multilevel"/>
    <w:tmpl w:val="221C0E1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D3C430C"/>
    <w:multiLevelType w:val="multilevel"/>
    <w:tmpl w:val="0EC028EE"/>
    <w:lvl w:ilvl="0">
      <w:start w:val="1"/>
      <w:numFmt w:val="upperRoman"/>
      <w:lvlText w:val="%1."/>
      <w:lvlJc w:val="left"/>
      <w:pPr>
        <w:ind w:left="1004" w:hanging="720"/>
      </w:pPr>
      <w:rPr>
        <w:rFonts w:hint="default"/>
        <w:lang w:val="ru-RU"/>
      </w:rPr>
    </w:lvl>
    <w:lvl w:ilvl="1">
      <w:start w:val="1"/>
      <w:numFmt w:val="decimal"/>
      <w:isLgl/>
      <w:lvlText w:val="%1.%2."/>
      <w:lvlJc w:val="left"/>
      <w:pPr>
        <w:ind w:left="1216"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2000"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784" w:hanging="1440"/>
      </w:pPr>
      <w:rPr>
        <w:rFonts w:hint="default"/>
      </w:rPr>
    </w:lvl>
    <w:lvl w:ilvl="6">
      <w:start w:val="1"/>
      <w:numFmt w:val="decimal"/>
      <w:isLgl/>
      <w:lvlText w:val="%1.%2.%3.%4.%5.%6.%7."/>
      <w:lvlJc w:val="left"/>
      <w:pPr>
        <w:ind w:left="3356" w:hanging="1800"/>
      </w:pPr>
      <w:rPr>
        <w:rFonts w:hint="default"/>
      </w:rPr>
    </w:lvl>
    <w:lvl w:ilvl="7">
      <w:start w:val="1"/>
      <w:numFmt w:val="decimal"/>
      <w:isLgl/>
      <w:lvlText w:val="%1.%2.%3.%4.%5.%6.%7.%8."/>
      <w:lvlJc w:val="left"/>
      <w:pPr>
        <w:ind w:left="3568" w:hanging="1800"/>
      </w:pPr>
      <w:rPr>
        <w:rFonts w:hint="default"/>
      </w:rPr>
    </w:lvl>
    <w:lvl w:ilvl="8">
      <w:start w:val="1"/>
      <w:numFmt w:val="decimal"/>
      <w:isLgl/>
      <w:lvlText w:val="%1.%2.%3.%4.%5.%6.%7.%8.%9."/>
      <w:lvlJc w:val="left"/>
      <w:pPr>
        <w:ind w:left="4140" w:hanging="2160"/>
      </w:pPr>
      <w:rPr>
        <w:rFonts w:hint="default"/>
      </w:rPr>
    </w:lvl>
  </w:abstractNum>
  <w:abstractNum w:abstractNumId="20">
    <w:nsid w:val="7F8743BC"/>
    <w:multiLevelType w:val="multilevel"/>
    <w:tmpl w:val="4822D3D6"/>
    <w:lvl w:ilvl="0">
      <w:start w:val="1"/>
      <w:numFmt w:val="decimal"/>
      <w:lvlText w:val="%1."/>
      <w:lvlJc w:val="left"/>
      <w:pPr>
        <w:ind w:left="928" w:hanging="360"/>
      </w:pPr>
      <w:rPr>
        <w:rFonts w:hint="default"/>
        <w:lang w:val="en-US"/>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num w:numId="1">
    <w:abstractNumId w:val="20"/>
  </w:num>
  <w:num w:numId="2">
    <w:abstractNumId w:val="19"/>
  </w:num>
  <w:num w:numId="3">
    <w:abstractNumId w:val="17"/>
  </w:num>
  <w:num w:numId="4">
    <w:abstractNumId w:val="11"/>
  </w:num>
  <w:num w:numId="5">
    <w:abstractNumId w:val="5"/>
  </w:num>
  <w:num w:numId="6">
    <w:abstractNumId w:val="8"/>
  </w:num>
  <w:num w:numId="7">
    <w:abstractNumId w:val="9"/>
  </w:num>
  <w:num w:numId="8">
    <w:abstractNumId w:val="18"/>
  </w:num>
  <w:num w:numId="9">
    <w:abstractNumId w:val="14"/>
  </w:num>
  <w:num w:numId="10">
    <w:abstractNumId w:val="6"/>
  </w:num>
  <w:num w:numId="11">
    <w:abstractNumId w:val="10"/>
  </w:num>
  <w:num w:numId="12">
    <w:abstractNumId w:val="4"/>
  </w:num>
  <w:num w:numId="13">
    <w:abstractNumId w:val="1"/>
  </w:num>
  <w:num w:numId="14">
    <w:abstractNumId w:val="16"/>
  </w:num>
  <w:num w:numId="15">
    <w:abstractNumId w:val="13"/>
  </w:num>
  <w:num w:numId="16">
    <w:abstractNumId w:val="12"/>
  </w:num>
  <w:num w:numId="17">
    <w:abstractNumId w:val="7"/>
  </w:num>
  <w:num w:numId="18">
    <w:abstractNumId w:val="15"/>
  </w:num>
  <w:num w:numId="19">
    <w:abstractNumId w:val="3"/>
  </w:num>
  <w:num w:numId="20">
    <w:abstractNumId w:val="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EAF731-9857-401A-99D1-719CC3AC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paragraph" w:styleId="a4">
    <w:name w:val="header"/>
    <w:basedOn w:val="a"/>
    <w:link w:val="a5"/>
    <w:uiPriority w:val="99"/>
    <w:unhideWhenUsed/>
    <w:pPr>
      <w:tabs>
        <w:tab w:val="center" w:pos="4677"/>
        <w:tab w:val="right" w:pos="9355"/>
      </w:tabs>
      <w:spacing w:after="0" w:line="240" w:lineRule="auto"/>
    </w:pPr>
  </w:style>
  <w:style w:type="character" w:customStyle="1" w:styleId="a5">
    <w:name w:val="Верхний колонтитул Знак"/>
    <w:basedOn w:val="a0"/>
    <w:link w:val="a4"/>
    <w:uiPriority w:val="99"/>
  </w:style>
  <w:style w:type="paragraph" w:styleId="a6">
    <w:name w:val="footer"/>
    <w:basedOn w:val="a"/>
    <w:link w:val="a7"/>
    <w:uiPriority w:val="99"/>
    <w:unhideWhenUsed/>
    <w:pPr>
      <w:tabs>
        <w:tab w:val="center" w:pos="4677"/>
        <w:tab w:val="right" w:pos="9355"/>
      </w:tabs>
      <w:spacing w:after="0" w:line="240" w:lineRule="auto"/>
    </w:pPr>
  </w:style>
  <w:style w:type="character" w:customStyle="1" w:styleId="a7">
    <w:name w:val="Нижний колонтитул Знак"/>
    <w:basedOn w:val="a0"/>
    <w:link w:val="a6"/>
    <w:uiPriority w:val="99"/>
  </w:style>
  <w:style w:type="paragraph" w:styleId="a8">
    <w:name w:val="Balloon Text"/>
    <w:basedOn w:val="a"/>
    <w:link w:val="a9"/>
    <w:uiPriority w:val="99"/>
    <w:semiHidden/>
    <w:unhideWhenUse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6C5C2-1263-469E-9A58-CFE22805A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1</Pages>
  <Words>3600</Words>
  <Characters>20522</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Фадеева Алена Михайловна</cp:lastModifiedBy>
  <cp:revision>56</cp:revision>
  <cp:lastPrinted>2021-02-25T07:18:00Z</cp:lastPrinted>
  <dcterms:created xsi:type="dcterms:W3CDTF">2021-01-25T10:36:00Z</dcterms:created>
  <dcterms:modified xsi:type="dcterms:W3CDTF">2021-02-25T07:18:00Z</dcterms:modified>
</cp:coreProperties>
</file>