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УТВЕРЖДЕНЫ</w:t>
      </w:r>
    </w:p>
    <w:p>
      <w:pPr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постановлением </w:t>
      </w:r>
    </w:p>
    <w:p>
      <w:pPr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17 декабря 2019 года № 1205</w:t>
      </w:r>
      <w:bookmarkStart w:id="0" w:name="_GoBack"/>
      <w:bookmarkEnd w:id="0"/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ИЗМЕНЕНИЯ,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которые вносятся в приложения №№ 5, 6 к Положению 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оплате труда работников Муниципального казенного учреждения «Дирекция по финансово-экономическому сопровождению 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 организационно-техническому обслуживанию 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системы образования»</w:t>
      </w: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приложении № 5 пункт 5 изложить в следующей редакции:</w:t>
      </w:r>
    </w:p>
    <w:p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470"/>
        <w:gridCol w:w="1843"/>
        <w:gridCol w:w="2355"/>
        <w:gridCol w:w="1755"/>
        <w:gridCol w:w="1701"/>
      </w:tblGrid>
      <w:tr>
        <w:tc>
          <w:tcPr>
            <w:tcW w:w="5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sz w:val="20"/>
                <w:szCs w:val="22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2"/>
              </w:rPr>
              <w:t>5.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sz w:val="20"/>
                <w:szCs w:val="22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2"/>
              </w:rPr>
              <w:t xml:space="preserve">Премиальные выплаты 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sz w:val="20"/>
                <w:szCs w:val="22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2"/>
              </w:rPr>
              <w:t>по итогам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sz w:val="20"/>
                <w:szCs w:val="22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2"/>
              </w:rPr>
              <w:t>до 100%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sz w:val="20"/>
                <w:szCs w:val="22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2"/>
              </w:rPr>
              <w:t>месячной заработной платы.</w:t>
            </w:r>
          </w:p>
          <w:p>
            <w:pPr>
              <w:jc w:val="center"/>
              <w:rPr>
                <w:rFonts w:ascii="PT Astra Serif" w:eastAsiaTheme="minorEastAsia" w:hAnsi="PT Astra Serif"/>
                <w:sz w:val="20"/>
                <w:szCs w:val="22"/>
              </w:rPr>
            </w:pPr>
            <w:r>
              <w:rPr>
                <w:rFonts w:ascii="PT Astra Serif" w:eastAsiaTheme="minorEastAsia" w:hAnsi="PT Astra Serif"/>
                <w:sz w:val="20"/>
                <w:szCs w:val="22"/>
              </w:rPr>
              <w:t>Месячная заработная плата включает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sz w:val="20"/>
                <w:szCs w:val="22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2"/>
              </w:rPr>
              <w:t xml:space="preserve">должностной оклад с учетом надбавок 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sz w:val="20"/>
                <w:szCs w:val="22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2"/>
              </w:rPr>
              <w:t>за выслугу лет, интенсивность труда, классность</w:t>
            </w:r>
          </w:p>
          <w:p>
            <w:pPr>
              <w:jc w:val="center"/>
              <w:rPr>
                <w:rFonts w:ascii="PT Astra Serif" w:eastAsiaTheme="minorEastAsia" w:hAnsi="PT Astra Serif"/>
                <w:sz w:val="20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sz w:val="20"/>
                <w:szCs w:val="22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2"/>
              </w:rPr>
              <w:t xml:space="preserve">на основании оценки выполнения (достижения) показателей результативности (эффективности) 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sz w:val="20"/>
                <w:szCs w:val="22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2"/>
              </w:rPr>
              <w:t>и качества труда работников Учреждения с учетом следующих параметров: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sz w:val="20"/>
                <w:szCs w:val="22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2"/>
              </w:rPr>
              <w:t xml:space="preserve">показатели выполнены 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sz w:val="20"/>
                <w:szCs w:val="22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2"/>
              </w:rPr>
              <w:t>в полном объеме;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sz w:val="20"/>
                <w:szCs w:val="22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2"/>
              </w:rPr>
              <w:t>показатели выполнены частично;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sz w:val="20"/>
                <w:szCs w:val="22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2"/>
              </w:rPr>
              <w:t>показатели выполнены со значительным отклонением;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sz w:val="20"/>
                <w:szCs w:val="22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2"/>
              </w:rPr>
              <w:t xml:space="preserve">показатели 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sz w:val="20"/>
                <w:szCs w:val="22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2"/>
              </w:rPr>
              <w:t>не выполнены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sz w:val="20"/>
                <w:szCs w:val="22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2"/>
              </w:rPr>
              <w:t xml:space="preserve">выполнение (достижение) показателей результативности (эффективности) и качества труда работников Учреждения 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sz w:val="20"/>
                <w:szCs w:val="22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2"/>
              </w:rPr>
              <w:t xml:space="preserve">по итогам периода работы, установленных </w:t>
            </w:r>
            <w:hyperlink w:anchor="sub_48" w:history="1">
              <w:r>
                <w:rPr>
                  <w:rStyle w:val="ac"/>
                  <w:rFonts w:ascii="PT Astra Serif" w:eastAsiaTheme="minorEastAsia" w:hAnsi="PT Astra Serif"/>
                  <w:b w:val="0"/>
                  <w:color w:val="000000" w:themeColor="text1"/>
                  <w:sz w:val="20"/>
                  <w:szCs w:val="22"/>
                </w:rPr>
                <w:t>пунктом 4.8</w:t>
              </w:r>
            </w:hyperlink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PT Astra Serif" w:eastAsiaTheme="minorEastAsia" w:hAnsi="PT Astra Serif" w:cs="Times New Roman"/>
                <w:sz w:val="20"/>
                <w:szCs w:val="22"/>
              </w:rPr>
              <w:t>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sz w:val="20"/>
                <w:szCs w:val="22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2"/>
              </w:rPr>
              <w:t>ежеквартально, ежегодно</w:t>
            </w:r>
          </w:p>
        </w:tc>
      </w:tr>
      <w:tr>
        <w:tc>
          <w:tcPr>
            <w:tcW w:w="5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sz w:val="20"/>
                <w:szCs w:val="22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eastAsiaTheme="minorEastAsia" w:hAnsi="PT Astra Serif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sz w:val="20"/>
                <w:szCs w:val="22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2"/>
              </w:rPr>
              <w:t>до 100%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sz w:val="20"/>
                <w:szCs w:val="22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2"/>
              </w:rPr>
              <w:t>месячной заработной платы.</w:t>
            </w:r>
          </w:p>
          <w:p>
            <w:pPr>
              <w:jc w:val="center"/>
              <w:rPr>
                <w:rFonts w:ascii="PT Astra Serif" w:eastAsiaTheme="minorEastAsia" w:hAnsi="PT Astra Serif"/>
                <w:sz w:val="20"/>
                <w:szCs w:val="22"/>
              </w:rPr>
            </w:pPr>
            <w:r>
              <w:rPr>
                <w:rFonts w:ascii="PT Astra Serif" w:eastAsiaTheme="minorEastAsia" w:hAnsi="PT Astra Serif"/>
                <w:sz w:val="20"/>
                <w:szCs w:val="22"/>
              </w:rPr>
              <w:t>Месячная заработная плата включает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sz w:val="20"/>
                <w:szCs w:val="22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2"/>
              </w:rPr>
              <w:t xml:space="preserve">должностной оклад с учетом надбавок 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2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2"/>
              </w:rPr>
              <w:t>за выслугу лет, интенсивность труда, классность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2"/>
              </w:rPr>
              <w:t>единовременно. Премия ко Дню образования Ямало-Ненецкого автономного округа и Дню Тазовского района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2"/>
              </w:rPr>
            </w:pPr>
          </w:p>
        </w:tc>
      </w:tr>
    </w:tbl>
    <w:p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».</w:t>
      </w:r>
    </w:p>
    <w:p>
      <w:pPr>
        <w:pStyle w:val="1"/>
        <w:framePr w:hSpace="0" w:wrap="auto" w:vAnchor="margin" w:hAnchor="text" w:yAlign="inline"/>
        <w:tabs>
          <w:tab w:val="left" w:pos="1134"/>
        </w:tabs>
        <w:ind w:left="709"/>
        <w:jc w:val="both"/>
        <w:rPr>
          <w:rFonts w:ascii="PT Astra Serif" w:hAnsi="PT Astra Serif"/>
          <w:b w:val="0"/>
          <w:sz w:val="28"/>
          <w:szCs w:val="28"/>
        </w:rPr>
      </w:pPr>
    </w:p>
    <w:p>
      <w:pPr>
        <w:pStyle w:val="1"/>
        <w:framePr w:hSpace="0" w:wrap="auto" w:vAnchor="margin" w:hAnchor="text" w:yAlign="inline"/>
        <w:tabs>
          <w:tab w:val="left" w:pos="1134"/>
        </w:tabs>
        <w:jc w:val="both"/>
        <w:rPr>
          <w:rFonts w:ascii="PT Astra Serif" w:hAnsi="PT Astra Serif"/>
          <w:b w:val="0"/>
          <w:sz w:val="28"/>
          <w:szCs w:val="28"/>
        </w:rPr>
      </w:pPr>
    </w:p>
    <w:p/>
    <w:p>
      <w:pPr>
        <w:pStyle w:val="1"/>
        <w:framePr w:hSpace="0" w:wrap="auto" w:vAnchor="margin" w:hAnchor="text" w:yAlign="inlin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lastRenderedPageBreak/>
        <w:t>В приложении № 6 пункт 3 изложить в следующей редакции:</w:t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470"/>
        <w:gridCol w:w="1843"/>
        <w:gridCol w:w="2551"/>
        <w:gridCol w:w="1559"/>
        <w:gridCol w:w="1701"/>
      </w:tblGrid>
      <w:tr>
        <w:tc>
          <w:tcPr>
            <w:tcW w:w="5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d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</w:rPr>
              <w:t>3.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 xml:space="preserve">Премиальные выплаты 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>по итогам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>выполнение плановых показателей деятельности учреждения (плана работы)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>выполнено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>до 20%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>должностного оклада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>
        <w:tc>
          <w:tcPr>
            <w:tcW w:w="515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pStyle w:val="ad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d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d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>не выполнено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d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</w:p>
        </w:tc>
      </w:tr>
      <w:tr>
        <w:tc>
          <w:tcPr>
            <w:tcW w:w="515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pStyle w:val="ad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d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 xml:space="preserve">полное 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 xml:space="preserve">и своевременное выполнение норм законодательства о публичности 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 xml:space="preserve">и открытости деятельности образовательных организаций (системная работа с сайтом образовательных организаций, сайтами </w:t>
            </w:r>
            <w:hyperlink r:id="rId8" w:history="1">
              <w:r>
                <w:rPr>
                  <w:rStyle w:val="ac"/>
                  <w:rFonts w:ascii="PT Astra Serif" w:eastAsiaTheme="minorEastAsia" w:hAnsi="PT Astra Serif"/>
                  <w:b w:val="0"/>
                  <w:color w:val="000000" w:themeColor="text1"/>
                  <w:sz w:val="20"/>
                  <w:szCs w:val="20"/>
                </w:rPr>
                <w:t>www.bus.gov.ru</w:t>
              </w:r>
            </w:hyperlink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>выполнено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 xml:space="preserve">до 10% </w:t>
            </w: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должностного оклада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>
        <w:tc>
          <w:tcPr>
            <w:tcW w:w="515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pStyle w:val="ad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d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d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>не выполнено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d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</w:p>
        </w:tc>
      </w:tr>
      <w:tr>
        <w:tc>
          <w:tcPr>
            <w:tcW w:w="515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pStyle w:val="ad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d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 xml:space="preserve">отсутствие замечаний проверяющих органов по результатам проверок деятельности Учреждения, отсутствие предписывающих (не устраненных) замечаний 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>со стороны контролирующих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>отсутствие замечаний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 xml:space="preserve">до 20% </w:t>
            </w: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должностного оклада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>
        <w:tc>
          <w:tcPr>
            <w:tcW w:w="515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pStyle w:val="ad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d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 xml:space="preserve">отсутствие жалоб на деятельность Учреждения 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 xml:space="preserve">со стороны обслуживаемых организаций 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>и других клиентов в отчётном периоде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>отсутствие жалоб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 xml:space="preserve">до 10% </w:t>
            </w: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должностного оклада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>
        <w:tc>
          <w:tcPr>
            <w:tcW w:w="515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pStyle w:val="ad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d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 xml:space="preserve">соблюдение установленных сроков рассмотрения поступающих 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>в Учреждение документов, обращений, исполнение приказов учредителя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>соблюдение установленных сроков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 xml:space="preserve">до 10% </w:t>
            </w: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должностного оклада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>
        <w:tc>
          <w:tcPr>
            <w:tcW w:w="515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pStyle w:val="ad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d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d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>несоблюдение установленных сроков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d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</w:p>
        </w:tc>
      </w:tr>
      <w:tr>
        <w:tc>
          <w:tcPr>
            <w:tcW w:w="515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pStyle w:val="ad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d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 xml:space="preserve">своевременность представления бухгалтерской, </w:t>
            </w: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lastRenderedPageBreak/>
              <w:t xml:space="preserve">статистической 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 xml:space="preserve">и иной отчетности в установленные сроки, а также 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>их качество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lastRenderedPageBreak/>
              <w:t>соблюдение сроков представления отчетности, а также ее качество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 xml:space="preserve">до 10% </w:t>
            </w: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должностного оклада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>
        <w:tc>
          <w:tcPr>
            <w:tcW w:w="515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pStyle w:val="ad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d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 xml:space="preserve">соблюдение соотношения среднемесячной заработной платы руководителя Учреждения, его заместителя, главного бухгалтера 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 xml:space="preserve">и среднемесячной заработной платы работников Учреждения 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 xml:space="preserve">(без учета заработной платы руководителя Учреждения, 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 xml:space="preserve">его заместителя, главного бухгалтера) 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 xml:space="preserve">в кратности, установленной </w:t>
            </w:r>
            <w:hyperlink w:anchor="sub_55" w:history="1">
              <w:r>
                <w:rPr>
                  <w:rStyle w:val="ac"/>
                  <w:rFonts w:ascii="PT Astra Serif" w:eastAsiaTheme="minorEastAsia" w:hAnsi="PT Astra Serif"/>
                  <w:b w:val="0"/>
                  <w:color w:val="000000" w:themeColor="text1"/>
                  <w:sz w:val="20"/>
                  <w:szCs w:val="20"/>
                </w:rPr>
                <w:t>пунктом 5.5</w:t>
              </w:r>
            </w:hyperlink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 xml:space="preserve"> Примерного положения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>соблюдение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 xml:space="preserve">до 20% </w:t>
            </w: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должностного оклада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>
        <w:tc>
          <w:tcPr>
            <w:tcW w:w="515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pStyle w:val="ad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d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d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>не соблюдение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d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</w:p>
        </w:tc>
      </w:tr>
      <w:tr>
        <w:tc>
          <w:tcPr>
            <w:tcW w:w="5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eastAsiaTheme="minorEastAsia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</w:rPr>
              <w:t>до 100%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</w:rPr>
              <w:t>месячной заработной платы.</w:t>
            </w:r>
          </w:p>
          <w:p>
            <w:pPr>
              <w:jc w:val="center"/>
              <w:rPr>
                <w:rFonts w:ascii="PT Astra Serif" w:eastAsiaTheme="minorEastAsia" w:hAnsi="PT Astra Serif"/>
                <w:sz w:val="20"/>
                <w:szCs w:val="20"/>
              </w:rPr>
            </w:pPr>
            <w:r>
              <w:rPr>
                <w:rFonts w:ascii="PT Astra Serif" w:eastAsiaTheme="minorEastAsia" w:hAnsi="PT Astra Serif"/>
                <w:sz w:val="20"/>
                <w:szCs w:val="20"/>
              </w:rPr>
              <w:t>Месячная заработная плата включает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</w:rPr>
              <w:t>должностной оклад с учетом надбавок за выслугу лет, интенсивность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единовременно. Премия ко Дню образования Ямало - Ненецкого автономного округа и Дню Тазовского района</w:t>
            </w:r>
          </w:p>
          <w:p>
            <w:pPr>
              <w:pStyle w:val="ab"/>
              <w:jc w:val="center"/>
              <w:rPr>
                <w:rFonts w:ascii="PT Astra Serif" w:eastAsiaTheme="minorEastAsia" w:hAnsi="PT Astra Serif" w:cs="Times New Roman"/>
                <w:color w:val="000000" w:themeColor="text1"/>
                <w:sz w:val="20"/>
                <w:szCs w:val="20"/>
              </w:rPr>
            </w:pPr>
          </w:p>
        </w:tc>
      </w:tr>
    </w:tbl>
    <w:p>
      <w:pPr>
        <w:tabs>
          <w:tab w:val="left" w:pos="7200"/>
        </w:tabs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».</w:t>
      </w:r>
    </w:p>
    <w:sectPr>
      <w:headerReference w:type="default" r:id="rId9"/>
      <w:pgSz w:w="11906" w:h="16838" w:code="9"/>
      <w:pgMar w:top="1134" w:right="567" w:bottom="1134" w:left="1701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jc w:val="center"/>
      <w:rPr>
        <w:rFonts w:ascii="PT Astra Serif" w:hAnsi="PT Astra Serif"/>
      </w:rPr>
    </w:pPr>
    <w:r>
      <w:rPr>
        <w:rFonts w:ascii="PT Astra Serif" w:hAnsi="PT Astra Serif"/>
      </w:rPr>
      <w:fldChar w:fldCharType="begin"/>
    </w:r>
    <w:r>
      <w:rPr>
        <w:rFonts w:ascii="PT Astra Serif" w:hAnsi="PT Astra Serif"/>
      </w:rPr>
      <w:instrText>PAGE   \* MERGEFORMAT</w:instrText>
    </w:r>
    <w:r>
      <w:rPr>
        <w:rFonts w:ascii="PT Astra Serif" w:hAnsi="PT Astra Serif"/>
      </w:rPr>
      <w:fldChar w:fldCharType="separate"/>
    </w:r>
    <w:r>
      <w:rPr>
        <w:rFonts w:ascii="PT Astra Serif" w:hAnsi="PT Astra Serif"/>
        <w:noProof/>
      </w:rPr>
      <w:t>3</w:t>
    </w:r>
    <w:r>
      <w:rPr>
        <w:rFonts w:ascii="PT Astra Serif" w:hAnsi="PT Astra Serif"/>
        <w:noProof/>
      </w:rPr>
      <w:fldChar w:fldCharType="end"/>
    </w:r>
  </w:p>
  <w:p>
    <w:pPr>
      <w:pStyle w:val="a4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324C9"/>
    <w:multiLevelType w:val="hybridMultilevel"/>
    <w:tmpl w:val="C85AA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F7374"/>
    <w:multiLevelType w:val="hybridMultilevel"/>
    <w:tmpl w:val="0FEAE6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3BC42D1"/>
    <w:multiLevelType w:val="hybridMultilevel"/>
    <w:tmpl w:val="1D300462"/>
    <w:lvl w:ilvl="0" w:tplc="8326D30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BF5FB-AB61-49EC-A46C-37FE2D4D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framePr w:hSpace="180" w:wrap="around" w:vAnchor="page" w:hAnchor="margin" w:y="234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VF1">
    <w:name w:val="СтильVVF1"/>
    <w:basedOn w:val="a"/>
    <w:pPr>
      <w:widowControl w:val="0"/>
      <w:suppressAutoHyphens/>
      <w:autoSpaceDE w:val="0"/>
      <w:spacing w:before="120"/>
      <w:ind w:firstLine="567"/>
      <w:jc w:val="center"/>
    </w:pPr>
    <w:rPr>
      <w:szCs w:val="20"/>
      <w:lang w:val="en-US" w:eastAsia="ar-SA"/>
    </w:rPr>
  </w:style>
  <w:style w:type="paragraph" w:customStyle="1" w:styleId="ab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Гипертекстовая ссылка"/>
    <w:basedOn w:val="a0"/>
    <w:uiPriority w:val="99"/>
    <w:rPr>
      <w:rFonts w:cs="Times New Roman"/>
      <w:b/>
      <w:color w:val="106BBE"/>
    </w:rPr>
  </w:style>
  <w:style w:type="paragraph" w:customStyle="1" w:styleId="ad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133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E411A-0C7D-43C9-9017-294B5812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DFK_S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Фадеева Алена Михайловна</cp:lastModifiedBy>
  <cp:revision>10</cp:revision>
  <cp:lastPrinted>2019-12-18T07:11:00Z</cp:lastPrinted>
  <dcterms:created xsi:type="dcterms:W3CDTF">2019-12-12T12:13:00Z</dcterms:created>
  <dcterms:modified xsi:type="dcterms:W3CDTF">2019-12-18T07:12:00Z</dcterms:modified>
</cp:coreProperties>
</file>